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102D9">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78"/>
        <w:gridCol w:w="805"/>
        <w:gridCol w:w="750"/>
        <w:gridCol w:w="1158"/>
        <w:gridCol w:w="940"/>
        <w:gridCol w:w="975"/>
        <w:gridCol w:w="820"/>
        <w:gridCol w:w="1142"/>
        <w:gridCol w:w="1077"/>
        <w:gridCol w:w="964"/>
        <w:gridCol w:w="1072"/>
        <w:gridCol w:w="983"/>
        <w:gridCol w:w="1069"/>
        <w:gridCol w:w="1189"/>
        <w:gridCol w:w="1321"/>
        <w:gridCol w:w="1"/>
      </w:tblGrid>
      <w:tr w14:paraId="5B21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83" w:hRule="atLeast"/>
          <w:jc w:val="center"/>
        </w:trPr>
        <w:tc>
          <w:tcPr>
            <w:tcW w:w="1740" w:type="dxa"/>
            <w:gridSpan w:val="3"/>
            <w:tcBorders>
              <w:top w:val="nil"/>
              <w:left w:val="nil"/>
              <w:bottom w:val="nil"/>
              <w:right w:val="nil"/>
            </w:tcBorders>
            <w:noWrap w:val="0"/>
            <w:vAlign w:val="center"/>
          </w:tcPr>
          <w:p w14:paraId="0209A86B">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小标宋简体" w:cs="Times New Roman"/>
                <w:kern w:val="0"/>
                <w:sz w:val="32"/>
                <w:szCs w:val="32"/>
              </w:rPr>
            </w:pPr>
          </w:p>
        </w:tc>
        <w:tc>
          <w:tcPr>
            <w:tcW w:w="13460" w:type="dxa"/>
            <w:gridSpan w:val="13"/>
            <w:tcBorders>
              <w:top w:val="nil"/>
              <w:left w:val="nil"/>
              <w:bottom w:val="nil"/>
              <w:right w:val="nil"/>
            </w:tcBorders>
            <w:noWrap w:val="0"/>
            <w:vAlign w:val="center"/>
          </w:tcPr>
          <w:p w14:paraId="3125E457">
            <w:pPr>
              <w:keepNext w:val="0"/>
              <w:keepLines w:val="0"/>
              <w:pageBreakBefore w:val="0"/>
              <w:widowControl w:val="0"/>
              <w:kinsoku/>
              <w:wordWrap/>
              <w:overflowPunct/>
              <w:topLinePunct w:val="0"/>
              <w:autoSpaceDE/>
              <w:autoSpaceDN/>
              <w:bidi w:val="0"/>
              <w:adjustRightInd/>
              <w:snapToGrid/>
              <w:spacing w:line="580" w:lineRule="exact"/>
              <w:ind w:firstLine="2880" w:firstLineChars="800"/>
              <w:jc w:val="left"/>
              <w:rPr>
                <w:rFonts w:hint="default" w:ascii="Times New Roman" w:hAnsi="Times New Roman" w:eastAsia="方正仿宋_GBK" w:cs="Times New Roman"/>
                <w:b/>
                <w:bCs/>
                <w:kern w:val="0"/>
                <w:sz w:val="13"/>
                <w:szCs w:val="13"/>
              </w:rPr>
            </w:pPr>
            <w:bookmarkStart w:id="0" w:name="_GoBack"/>
            <w:r>
              <w:rPr>
                <w:rFonts w:hint="default" w:ascii="Times New Roman" w:hAnsi="Times New Roman" w:eastAsia="方正小标宋简体" w:cs="Times New Roman"/>
                <w:kern w:val="0"/>
                <w:sz w:val="36"/>
                <w:szCs w:val="36"/>
              </w:rPr>
              <w:t>四川省省级代理购电工商业用户电价表</w:t>
            </w:r>
            <w:bookmarkEnd w:id="0"/>
          </w:p>
        </w:tc>
      </w:tr>
      <w:tr w14:paraId="224D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2" w:hRule="atLeast"/>
          <w:jc w:val="center"/>
        </w:trPr>
        <w:tc>
          <w:tcPr>
            <w:tcW w:w="1740" w:type="dxa"/>
            <w:gridSpan w:val="3"/>
            <w:tcBorders>
              <w:top w:val="nil"/>
              <w:left w:val="nil"/>
              <w:bottom w:val="single" w:color="auto" w:sz="4" w:space="0"/>
              <w:right w:val="nil"/>
            </w:tcBorders>
            <w:noWrap w:val="0"/>
            <w:vAlign w:val="center"/>
          </w:tcPr>
          <w:p w14:paraId="12EE84BC">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b/>
                <w:bCs/>
                <w:sz w:val="28"/>
                <w:szCs w:val="28"/>
              </w:rPr>
            </w:pPr>
          </w:p>
        </w:tc>
        <w:tc>
          <w:tcPr>
            <w:tcW w:w="13460" w:type="dxa"/>
            <w:gridSpan w:val="13"/>
            <w:tcBorders>
              <w:top w:val="nil"/>
              <w:left w:val="nil"/>
              <w:bottom w:val="single" w:color="auto" w:sz="4" w:space="0"/>
              <w:right w:val="nil"/>
            </w:tcBorders>
            <w:noWrap w:val="0"/>
            <w:vAlign w:val="center"/>
          </w:tcPr>
          <w:p w14:paraId="45A04C14">
            <w:pPr>
              <w:keepNext w:val="0"/>
              <w:keepLines w:val="0"/>
              <w:pageBreakBefore w:val="0"/>
              <w:widowControl w:val="0"/>
              <w:kinsoku/>
              <w:wordWrap/>
              <w:overflowPunct/>
              <w:topLinePunct w:val="0"/>
              <w:autoSpaceDE/>
              <w:autoSpaceDN/>
              <w:bidi w:val="0"/>
              <w:adjustRightInd/>
              <w:snapToGrid/>
              <w:spacing w:line="580" w:lineRule="exact"/>
              <w:ind w:firstLine="2811" w:firstLineChars="1000"/>
              <w:jc w:val="left"/>
              <w:rPr>
                <w:rFonts w:hint="default" w:ascii="Times New Roman" w:hAnsi="Times New Roman" w:eastAsia="方正仿宋_GBK" w:cs="Times New Roman"/>
                <w:b/>
                <w:bCs/>
                <w:kern w:val="0"/>
                <w:sz w:val="13"/>
                <w:szCs w:val="13"/>
              </w:rPr>
            </w:pPr>
            <w:r>
              <w:rPr>
                <w:rFonts w:hint="default" w:ascii="Times New Roman" w:hAnsi="Times New Roman" w:eastAsia="宋体" w:cs="Times New Roman"/>
                <w:b/>
                <w:bCs/>
                <w:sz w:val="28"/>
                <w:szCs w:val="28"/>
              </w:rPr>
              <w:t>（执行时间：</w:t>
            </w:r>
            <w:r>
              <w:rPr>
                <w:rFonts w:hint="default" w:ascii="Times New Roman" w:hAnsi="Times New Roman" w:eastAsia="宋体" w:cs="Times New Roman"/>
                <w:b/>
                <w:bCs/>
                <w:sz w:val="28"/>
                <w:szCs w:val="28"/>
                <w:lang w:eastAsia="zh-CN"/>
              </w:rPr>
              <w:t>20××年</w:t>
            </w:r>
            <w:r>
              <w:rPr>
                <w:rFonts w:hint="default" w:ascii="Times New Roman" w:hAnsi="Times New Roman" w:cs="Times New Roman"/>
                <w:b/>
                <w:bCs/>
                <w:sz w:val="28"/>
                <w:szCs w:val="28"/>
                <w:lang w:val="en-US" w:eastAsia="zh-CN"/>
              </w:rPr>
              <w:t>×</w:t>
            </w:r>
            <w:r>
              <w:rPr>
                <w:rFonts w:hint="default" w:ascii="Times New Roman" w:hAnsi="Times New Roman" w:eastAsia="宋体" w:cs="Times New Roman"/>
                <w:b/>
                <w:bCs/>
                <w:sz w:val="28"/>
                <w:szCs w:val="28"/>
                <w:lang w:eastAsia="zh-CN"/>
              </w:rPr>
              <w:t>月×日-20××年</w:t>
            </w:r>
            <w:r>
              <w:rPr>
                <w:rFonts w:hint="default" w:ascii="Times New Roman" w:hAnsi="Times New Roman" w:cs="Times New Roman"/>
                <w:b/>
                <w:bCs/>
                <w:sz w:val="28"/>
                <w:szCs w:val="28"/>
                <w:lang w:val="en-US" w:eastAsia="zh-CN"/>
              </w:rPr>
              <w:t>×</w:t>
            </w:r>
            <w:r>
              <w:rPr>
                <w:rFonts w:hint="default" w:ascii="Times New Roman" w:hAnsi="Times New Roman" w:eastAsia="宋体" w:cs="Times New Roman"/>
                <w:b/>
                <w:bCs/>
                <w:sz w:val="28"/>
                <w:szCs w:val="28"/>
                <w:lang w:eastAsia="zh-CN"/>
              </w:rPr>
              <w:t>月×日</w:t>
            </w:r>
            <w:r>
              <w:rPr>
                <w:rFonts w:hint="default" w:ascii="Times New Roman" w:hAnsi="Times New Roman" w:eastAsia="宋体" w:cs="Times New Roman"/>
                <w:b/>
                <w:bCs/>
                <w:sz w:val="28"/>
                <w:szCs w:val="28"/>
              </w:rPr>
              <w:t>）</w:t>
            </w:r>
          </w:p>
        </w:tc>
      </w:tr>
      <w:tr w14:paraId="680C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2" w:hRule="atLeast"/>
          <w:jc w:val="center"/>
        </w:trPr>
        <w:tc>
          <w:tcPr>
            <w:tcW w:w="93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3DB95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用电分类</w:t>
            </w:r>
          </w:p>
        </w:tc>
        <w:tc>
          <w:tcPr>
            <w:tcW w:w="155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9E99E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电压等级</w:t>
            </w:r>
          </w:p>
        </w:tc>
        <w:tc>
          <w:tcPr>
            <w:tcW w:w="1158" w:type="dxa"/>
            <w:vMerge w:val="restart"/>
            <w:tcBorders>
              <w:top w:val="single" w:color="auto" w:sz="4" w:space="0"/>
              <w:left w:val="single" w:color="auto" w:sz="4" w:space="0"/>
              <w:bottom w:val="single" w:color="auto" w:sz="4" w:space="0"/>
              <w:right w:val="single" w:color="auto" w:sz="4" w:space="0"/>
            </w:tcBorders>
            <w:noWrap w:val="0"/>
            <w:vAlign w:val="center"/>
          </w:tcPr>
          <w:p w14:paraId="0117E5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13"/>
                <w:szCs w:val="13"/>
                <w:lang w:eastAsia="zh-CN"/>
              </w:rPr>
            </w:pPr>
            <w:r>
              <w:rPr>
                <w:rFonts w:hint="default" w:ascii="Times New Roman" w:hAnsi="Times New Roman" w:eastAsia="方正仿宋_GBK" w:cs="Times New Roman"/>
                <w:b/>
                <w:bCs/>
                <w:kern w:val="0"/>
                <w:sz w:val="13"/>
                <w:szCs w:val="13"/>
                <w:lang w:eastAsia="zh-CN"/>
              </w:rPr>
              <w:t>非分时电度电价（元</w:t>
            </w:r>
            <w:r>
              <w:rPr>
                <w:rFonts w:hint="default" w:ascii="Times New Roman" w:hAnsi="Times New Roman" w:eastAsia="方正仿宋_GBK" w:cs="Times New Roman"/>
                <w:b/>
                <w:bCs/>
                <w:kern w:val="0"/>
                <w:sz w:val="13"/>
                <w:szCs w:val="13"/>
                <w:lang w:val="en-US" w:eastAsia="zh-CN"/>
              </w:rPr>
              <w:t>/千瓦时</w:t>
            </w:r>
            <w:r>
              <w:rPr>
                <w:rFonts w:hint="default" w:ascii="Times New Roman" w:hAnsi="Times New Roman" w:eastAsia="方正仿宋_GBK" w:cs="Times New Roman"/>
                <w:b/>
                <w:bCs/>
                <w:kern w:val="0"/>
                <w:sz w:val="13"/>
                <w:szCs w:val="13"/>
                <w:lang w:eastAsia="zh-CN"/>
              </w:rPr>
              <w:t>）</w:t>
            </w:r>
          </w:p>
        </w:tc>
        <w:tc>
          <w:tcPr>
            <w:tcW w:w="4954" w:type="dxa"/>
            <w:gridSpan w:val="5"/>
            <w:tcBorders>
              <w:top w:val="single" w:color="auto" w:sz="4" w:space="0"/>
              <w:left w:val="single" w:color="auto" w:sz="4" w:space="0"/>
              <w:bottom w:val="single" w:color="auto" w:sz="4" w:space="0"/>
              <w:right w:val="single" w:color="auto" w:sz="4" w:space="0"/>
            </w:tcBorders>
            <w:noWrap w:val="0"/>
            <w:vAlign w:val="center"/>
          </w:tcPr>
          <w:p w14:paraId="223133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13"/>
                <w:szCs w:val="13"/>
                <w:lang w:eastAsia="zh-CN"/>
              </w:rPr>
            </w:pPr>
            <w:r>
              <w:rPr>
                <w:rFonts w:hint="default" w:ascii="Times New Roman" w:hAnsi="Times New Roman" w:eastAsia="方正仿宋_GBK" w:cs="Times New Roman"/>
                <w:b/>
                <w:bCs/>
                <w:kern w:val="0"/>
                <w:sz w:val="13"/>
                <w:szCs w:val="13"/>
                <w:lang w:eastAsia="zh-CN"/>
              </w:rPr>
              <w:t>其中</w:t>
            </w:r>
          </w:p>
        </w:tc>
        <w:tc>
          <w:tcPr>
            <w:tcW w:w="4088" w:type="dxa"/>
            <w:gridSpan w:val="4"/>
            <w:tcBorders>
              <w:top w:val="single" w:color="auto" w:sz="4" w:space="0"/>
              <w:left w:val="single" w:color="auto" w:sz="4" w:space="0"/>
              <w:bottom w:val="single" w:color="auto" w:sz="4" w:space="0"/>
              <w:right w:val="single" w:color="auto" w:sz="4" w:space="0"/>
            </w:tcBorders>
            <w:noWrap w:val="0"/>
            <w:vAlign w:val="center"/>
          </w:tcPr>
          <w:p w14:paraId="4A26A0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13"/>
                <w:szCs w:val="13"/>
                <w:lang w:eastAsia="zh-CN"/>
              </w:rPr>
            </w:pPr>
            <w:r>
              <w:rPr>
                <w:rFonts w:hint="default" w:ascii="Times New Roman" w:hAnsi="Times New Roman" w:eastAsia="方正仿宋_GBK" w:cs="Times New Roman"/>
                <w:b/>
                <w:bCs/>
                <w:kern w:val="0"/>
                <w:sz w:val="13"/>
                <w:szCs w:val="13"/>
                <w:lang w:eastAsia="zh-CN"/>
              </w:rPr>
              <w:t>分时电度电价（元</w:t>
            </w:r>
            <w:r>
              <w:rPr>
                <w:rFonts w:hint="default" w:ascii="Times New Roman" w:hAnsi="Times New Roman" w:eastAsia="方正仿宋_GBK" w:cs="Times New Roman"/>
                <w:b/>
                <w:bCs/>
                <w:kern w:val="0"/>
                <w:sz w:val="13"/>
                <w:szCs w:val="13"/>
                <w:lang w:val="en-US" w:eastAsia="zh-CN"/>
              </w:rPr>
              <w:t>/千瓦时</w:t>
            </w:r>
            <w:r>
              <w:rPr>
                <w:rFonts w:hint="default" w:ascii="Times New Roman" w:hAnsi="Times New Roman" w:eastAsia="方正仿宋_GBK" w:cs="Times New Roman"/>
                <w:b/>
                <w:bCs/>
                <w:kern w:val="0"/>
                <w:sz w:val="13"/>
                <w:szCs w:val="13"/>
                <w:lang w:eastAsia="zh-CN"/>
              </w:rPr>
              <w:t>）</w:t>
            </w:r>
          </w:p>
        </w:tc>
        <w:tc>
          <w:tcPr>
            <w:tcW w:w="2510" w:type="dxa"/>
            <w:gridSpan w:val="2"/>
            <w:tcBorders>
              <w:top w:val="single" w:color="auto" w:sz="4" w:space="0"/>
              <w:left w:val="single" w:color="auto" w:sz="4" w:space="0"/>
              <w:bottom w:val="single" w:color="auto" w:sz="4" w:space="0"/>
              <w:right w:val="single" w:color="auto" w:sz="4" w:space="0"/>
            </w:tcBorders>
            <w:noWrap w:val="0"/>
            <w:vAlign w:val="center"/>
          </w:tcPr>
          <w:p w14:paraId="4CD53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13"/>
                <w:szCs w:val="13"/>
              </w:rPr>
            </w:pPr>
            <w:r>
              <w:rPr>
                <w:rFonts w:hint="default" w:ascii="Times New Roman" w:hAnsi="Times New Roman" w:eastAsia="方正仿宋_GBK" w:cs="Times New Roman"/>
                <w:b/>
                <w:bCs/>
                <w:kern w:val="0"/>
                <w:sz w:val="13"/>
                <w:szCs w:val="13"/>
              </w:rPr>
              <w:t>容（需）量电价</w:t>
            </w:r>
          </w:p>
        </w:tc>
      </w:tr>
      <w:tr w14:paraId="0726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3721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p>
        </w:tc>
        <w:tc>
          <w:tcPr>
            <w:tcW w:w="15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AB4E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p>
        </w:tc>
        <w:tc>
          <w:tcPr>
            <w:tcW w:w="1158" w:type="dxa"/>
            <w:vMerge w:val="continue"/>
            <w:tcBorders>
              <w:top w:val="single" w:color="auto" w:sz="4" w:space="0"/>
              <w:left w:val="single" w:color="auto" w:sz="4" w:space="0"/>
              <w:bottom w:val="single" w:color="auto" w:sz="4" w:space="0"/>
              <w:right w:val="single" w:color="auto" w:sz="4" w:space="0"/>
            </w:tcBorders>
            <w:noWrap w:val="0"/>
            <w:vAlign w:val="center"/>
          </w:tcPr>
          <w:p w14:paraId="10EDF5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5B8B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代理购电价格</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7432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13"/>
                <w:szCs w:val="13"/>
              </w:rPr>
            </w:pPr>
            <w:r>
              <w:rPr>
                <w:rFonts w:hint="default" w:ascii="Times New Roman" w:hAnsi="Times New Roman" w:eastAsia="方正仿宋_GBK" w:cs="Times New Roman"/>
                <w:b/>
                <w:bCs/>
                <w:kern w:val="0"/>
                <w:sz w:val="13"/>
                <w:szCs w:val="13"/>
              </w:rPr>
              <w:t>上网环节线损费用</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7AB330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lang w:eastAsia="zh-CN"/>
              </w:rPr>
              <w:t>电度</w:t>
            </w:r>
            <w:r>
              <w:rPr>
                <w:rFonts w:hint="default" w:ascii="Times New Roman" w:hAnsi="Times New Roman" w:eastAsia="方正仿宋_GBK" w:cs="Times New Roman"/>
                <w:b/>
                <w:bCs/>
                <w:kern w:val="0"/>
                <w:sz w:val="13"/>
                <w:szCs w:val="13"/>
              </w:rPr>
              <w:t>输配电价</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928B5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政府性基金及附加</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113C7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系统运行费用</w:t>
            </w:r>
            <w:r>
              <w:rPr>
                <w:rFonts w:hint="default" w:ascii="Times New Roman" w:hAnsi="Times New Roman" w:eastAsia="方正仿宋_GBK" w:cs="Times New Roman"/>
                <w:b/>
                <w:bCs/>
                <w:kern w:val="0"/>
                <w:sz w:val="13"/>
                <w:szCs w:val="13"/>
                <w:lang w:eastAsia="zh-CN"/>
              </w:rPr>
              <w:t>折价</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798C83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尖峰时段</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9E87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高峰时段</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2AF2D8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平段</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84013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低谷时段</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A8971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13"/>
                <w:szCs w:val="13"/>
              </w:rPr>
            </w:pPr>
            <w:r>
              <w:rPr>
                <w:rFonts w:hint="default" w:ascii="Times New Roman" w:hAnsi="Times New Roman" w:eastAsia="方正仿宋_GBK" w:cs="Times New Roman"/>
                <w:b/>
                <w:bCs/>
                <w:kern w:val="0"/>
                <w:sz w:val="13"/>
                <w:szCs w:val="13"/>
              </w:rPr>
              <w:t>需量电价</w:t>
            </w:r>
          </w:p>
          <w:p w14:paraId="42C291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（元/千瓦•月）</w:t>
            </w:r>
          </w:p>
        </w:tc>
        <w:tc>
          <w:tcPr>
            <w:tcW w:w="1322" w:type="dxa"/>
            <w:gridSpan w:val="2"/>
            <w:tcBorders>
              <w:top w:val="single" w:color="auto" w:sz="4" w:space="0"/>
              <w:left w:val="single" w:color="auto" w:sz="4" w:space="0"/>
              <w:bottom w:val="single" w:color="auto" w:sz="4" w:space="0"/>
              <w:right w:val="single" w:color="auto" w:sz="4" w:space="0"/>
            </w:tcBorders>
            <w:noWrap w:val="0"/>
            <w:vAlign w:val="center"/>
          </w:tcPr>
          <w:p w14:paraId="514F25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13"/>
                <w:szCs w:val="13"/>
              </w:rPr>
            </w:pPr>
            <w:r>
              <w:rPr>
                <w:rFonts w:hint="default" w:ascii="Times New Roman" w:hAnsi="Times New Roman" w:eastAsia="方正仿宋_GBK" w:cs="Times New Roman"/>
                <w:b/>
                <w:bCs/>
                <w:kern w:val="0"/>
                <w:sz w:val="13"/>
                <w:szCs w:val="13"/>
              </w:rPr>
              <w:t>容量电价</w:t>
            </w:r>
          </w:p>
          <w:p w14:paraId="248D89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（元/千伏安·月）</w:t>
            </w:r>
          </w:p>
        </w:tc>
      </w:tr>
      <w:tr w14:paraId="640D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5" w:type="dxa"/>
            <w:gridSpan w:val="2"/>
            <w:tcBorders>
              <w:top w:val="single" w:color="auto" w:sz="4" w:space="0"/>
              <w:left w:val="single" w:color="auto" w:sz="4" w:space="0"/>
              <w:bottom w:val="single" w:color="auto" w:sz="4" w:space="0"/>
              <w:right w:val="single" w:color="auto" w:sz="4" w:space="0"/>
            </w:tcBorders>
            <w:noWrap w:val="0"/>
            <w:vAlign w:val="center"/>
          </w:tcPr>
          <w:p w14:paraId="2D69E0D6">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eastAsia="zh-CN"/>
              </w:rPr>
            </w:pPr>
            <w:r>
              <w:rPr>
                <w:rFonts w:hint="default" w:ascii="Times New Roman" w:hAnsi="Times New Roman" w:eastAsia="方正仿宋_GBK" w:cs="Times New Roman"/>
                <w:b/>
                <w:bCs/>
                <w:kern w:val="0"/>
                <w:sz w:val="13"/>
                <w:szCs w:val="13"/>
                <w:lang w:eastAsia="zh-CN"/>
              </w:rPr>
              <w:t>公式</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1D4F7A1A">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7FB0A0C3">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1=2+3+4+5+6</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79FD6B75">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2</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3D42B14">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3</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30984FFB">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4</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8F3F720">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5</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5680B33">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6</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84E59B0">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7</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7AE9318">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8</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2B535496">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9=1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DB97970">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10</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4FA714E">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11</w:t>
            </w:r>
          </w:p>
        </w:tc>
        <w:tc>
          <w:tcPr>
            <w:tcW w:w="1322" w:type="dxa"/>
            <w:gridSpan w:val="2"/>
            <w:tcBorders>
              <w:top w:val="single" w:color="auto" w:sz="4" w:space="0"/>
              <w:left w:val="single" w:color="auto" w:sz="4" w:space="0"/>
              <w:bottom w:val="single" w:color="auto" w:sz="4" w:space="0"/>
              <w:right w:val="single" w:color="auto" w:sz="4" w:space="0"/>
            </w:tcBorders>
            <w:noWrap w:val="0"/>
            <w:vAlign w:val="center"/>
          </w:tcPr>
          <w:p w14:paraId="5A703D59">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12</w:t>
            </w:r>
          </w:p>
        </w:tc>
      </w:tr>
      <w:tr w14:paraId="4418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31" w:hRule="exact"/>
          <w:jc w:val="center"/>
        </w:trPr>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14:paraId="585C0418">
            <w:pPr>
              <w:keepNext w:val="0"/>
              <w:keepLines w:val="0"/>
              <w:pageBreakBefore w:val="0"/>
              <w:widowControl/>
              <w:kinsoku/>
              <w:wordWrap/>
              <w:overflowPunct/>
              <w:topLinePunct w:val="0"/>
              <w:autoSpaceDE/>
              <w:autoSpaceDN/>
              <w:bidi w:val="0"/>
              <w:adjustRightInd/>
              <w:snapToGrid/>
              <w:spacing w:line="440" w:lineRule="exact"/>
              <w:jc w:val="center"/>
              <w:textAlignment w:val="baseline"/>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工商业用电</w:t>
            </w:r>
          </w:p>
        </w:tc>
        <w:tc>
          <w:tcPr>
            <w:tcW w:w="478" w:type="dxa"/>
            <w:vMerge w:val="restart"/>
            <w:tcBorders>
              <w:top w:val="single" w:color="auto" w:sz="4" w:space="0"/>
              <w:left w:val="single" w:color="auto" w:sz="4" w:space="0"/>
              <w:bottom w:val="single" w:color="auto" w:sz="4" w:space="0"/>
              <w:right w:val="single" w:color="auto" w:sz="4" w:space="0"/>
            </w:tcBorders>
            <w:noWrap w:val="0"/>
            <w:vAlign w:val="center"/>
          </w:tcPr>
          <w:p w14:paraId="1581BAE4">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lang w:val="en-US" w:eastAsia="zh-CN"/>
              </w:rPr>
            </w:pPr>
            <w:r>
              <w:rPr>
                <w:rFonts w:hint="default" w:ascii="Times New Roman" w:hAnsi="Times New Roman" w:eastAsia="方正仿宋_GBK" w:cs="Times New Roman"/>
                <w:kern w:val="0"/>
                <w:sz w:val="18"/>
                <w:szCs w:val="18"/>
                <w:lang w:val="en-US" w:eastAsia="zh-CN"/>
              </w:rPr>
              <w:t>单一制</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3DC48CB">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不满1千伏</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20D635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2312" w:cs="Times New Roman"/>
                <w:i w:val="0"/>
                <w:color w:val="000000"/>
                <w:kern w:val="0"/>
                <w:sz w:val="18"/>
                <w:szCs w:val="18"/>
                <w:u w:val="none"/>
                <w:lang w:val="en-US" w:eastAsia="zh-CN" w:bidi="ar"/>
              </w:rPr>
            </w:pP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14:paraId="086561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2312" w:cs="Times New Roman"/>
                <w:i w:val="0"/>
                <w:iCs w:val="0"/>
                <w:color w:val="000000"/>
                <w:kern w:val="2"/>
                <w:sz w:val="18"/>
                <w:szCs w:val="18"/>
                <w:u w:val="none"/>
                <w:lang w:val="en-US" w:eastAsia="zh-CN" w:bidi="ar-SA"/>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CFA43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2312" w:cs="Times New Roman"/>
                <w:i w:val="0"/>
                <w:iCs w:val="0"/>
                <w:color w:val="000000"/>
                <w:kern w:val="2"/>
                <w:sz w:val="18"/>
                <w:szCs w:val="18"/>
                <w:u w:val="none"/>
                <w:lang w:val="en-US" w:eastAsia="zh-CN" w:bidi="ar-SA"/>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6C4F509E">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Fonts w:hint="default" w:ascii="Times New Roman" w:hAnsi="Times New Roman" w:cs="Times New Roman"/>
                <w:kern w:val="0"/>
                <w:sz w:val="18"/>
                <w:szCs w:val="18"/>
              </w:rPr>
            </w:pP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14:paraId="4AE8D66D">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color w:val="000000"/>
                <w:sz w:val="18"/>
                <w:szCs w:val="18"/>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39CA43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2312" w:cs="Times New Roman"/>
                <w:i w:val="0"/>
                <w:iCs w:val="0"/>
                <w:color w:val="000000"/>
                <w:kern w:val="2"/>
                <w:sz w:val="18"/>
                <w:szCs w:val="18"/>
                <w:u w:val="none"/>
                <w:lang w:val="en-US" w:eastAsia="zh-CN" w:bidi="ar-SA"/>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E418093">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方正仿宋_GB2312" w:cs="Times New Roman"/>
                <w:i w:val="0"/>
                <w:color w:val="000000"/>
                <w:kern w:val="0"/>
                <w:sz w:val="18"/>
                <w:szCs w:val="18"/>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5ADC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color w:val="000000"/>
                <w:kern w:val="0"/>
                <w:sz w:val="18"/>
                <w:szCs w:val="18"/>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633FDD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color w:val="000000"/>
                <w:kern w:val="0"/>
                <w:sz w:val="18"/>
                <w:szCs w:val="1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8D616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color w:val="000000"/>
                <w:kern w:val="0"/>
                <w:sz w:val="18"/>
                <w:szCs w:val="18"/>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7449901">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51BF8CC6">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r>
      <w:tr w14:paraId="2FE2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62A0831D">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0057C744">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8F7EE5C">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1-10千伏</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964E7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14:paraId="27CAA54A">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F23063">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1C61DF76">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7AA4B91E">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6E3D8EFE">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C6F8175">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方正仿宋_GB2312" w:cs="Times New Roman"/>
                <w:i w:val="0"/>
                <w:color w:val="000000"/>
                <w:kern w:val="0"/>
                <w:sz w:val="18"/>
                <w:szCs w:val="18"/>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DA4F9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4B5C49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0F85A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62FEFB1">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28A0937F">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r>
      <w:tr w14:paraId="6AB1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0B2D667B">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31179DE8">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88B8B3B">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35千伏及以上</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8B9B9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14:paraId="4D47D0DD">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D0531E">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55EF8354">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3E326DA6">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245B0148">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2F132F8C">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方正仿宋_GB2312" w:cs="Times New Roman"/>
                <w:i w:val="0"/>
                <w:color w:val="000000"/>
                <w:kern w:val="0"/>
                <w:sz w:val="18"/>
                <w:szCs w:val="18"/>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A3583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35C0D0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0D476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FD17117">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1845F065">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r>
      <w:tr w14:paraId="0510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30C4C185">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restart"/>
            <w:tcBorders>
              <w:top w:val="single" w:color="auto" w:sz="4" w:space="0"/>
              <w:left w:val="single" w:color="auto" w:sz="4" w:space="0"/>
              <w:bottom w:val="single" w:color="auto" w:sz="4" w:space="0"/>
              <w:right w:val="single" w:color="auto" w:sz="4" w:space="0"/>
            </w:tcBorders>
            <w:noWrap w:val="0"/>
            <w:vAlign w:val="center"/>
          </w:tcPr>
          <w:p w14:paraId="7AFABE14">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两部制</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3AC420E">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1-10千伏</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40448D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14:paraId="16DD34B7">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13771A">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7D09417D">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299574E5">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7FEDD72C">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07067D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2312" w:cs="Times New Roman"/>
                <w:i w:val="0"/>
                <w:color w:val="000000"/>
                <w:kern w:val="0"/>
                <w:sz w:val="18"/>
                <w:szCs w:val="18"/>
                <w:highlight w:val="yellow"/>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CB4BA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6A1E7C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0A624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9F2922F">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752118B7">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r>
      <w:tr w14:paraId="3AE1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37594490">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29D83FDD">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8F4E17F">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35千伏</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6A82ED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14:paraId="0A5FB8C4">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6E090E">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3B0E2AEB">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3CF715B1">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E9E1CA3">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0F8B01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2312" w:cs="Times New Roman"/>
                <w:i w:val="0"/>
                <w:color w:val="000000"/>
                <w:kern w:val="0"/>
                <w:sz w:val="18"/>
                <w:szCs w:val="18"/>
                <w:highlight w:val="yellow"/>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68ECD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6F2721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E62BE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75B3A37">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47DBB757">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r>
      <w:tr w14:paraId="65D8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3CDAE5A5">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79454C94">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2F5BB6B1">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110千伏</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798B3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14:paraId="56E67B2D">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6E1E62">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1F23635E">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3D7EB1FA">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8AA554A">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63B04F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2312" w:cs="Times New Roman"/>
                <w:i w:val="0"/>
                <w:color w:val="000000"/>
                <w:kern w:val="0"/>
                <w:sz w:val="18"/>
                <w:szCs w:val="18"/>
                <w:highlight w:val="yellow"/>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4F2E9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16B124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C196C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F421089">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6CE2132C">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r>
      <w:tr w14:paraId="7915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2EAF53D9">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32391B16">
            <w:pPr>
              <w:keepNext w:val="0"/>
              <w:keepLines w:val="0"/>
              <w:pageBreakBefore w:val="0"/>
              <w:widowControl w:val="0"/>
              <w:kinsoku/>
              <w:wordWrap/>
              <w:overflowPunct/>
              <w:topLinePunct w:val="0"/>
              <w:autoSpaceDE/>
              <w:autoSpaceDN/>
              <w:bidi w:val="0"/>
              <w:adjustRightInd/>
              <w:snapToGrid/>
              <w:spacing w:line="440" w:lineRule="exact"/>
              <w:jc w:val="center"/>
              <w:outlineLvl w:val="9"/>
              <w:rPr>
                <w:rStyle w:val="6"/>
                <w:rFonts w:hint="default" w:ascii="Times New Roman" w:hAnsi="Times New Roman" w:eastAsia="方正小标宋简体" w:cs="Times New Roman"/>
                <w:color w:val="000000"/>
                <w:kern w:val="0"/>
                <w:sz w:val="28"/>
                <w:szCs w:val="36"/>
                <w:vertAlign w:val="baseline"/>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C0056B4">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220千伏及以上</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764B13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14:paraId="768D3F51">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940878">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551D4678">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5E1B57B1">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2621274">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0C2857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2312" w:cs="Times New Roman"/>
                <w:i w:val="0"/>
                <w:color w:val="000000"/>
                <w:kern w:val="0"/>
                <w:sz w:val="18"/>
                <w:szCs w:val="18"/>
                <w:highlight w:val="yellow"/>
                <w:u w:val="none"/>
                <w:lang w:val="en-US" w:eastAsia="zh-CN" w:bidi="ar"/>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3FE5D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631948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F85B9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rFonts w:hint="default" w:ascii="Times New Roman" w:hAnsi="Times New Roman" w:eastAsia="方正小标宋简体" w:cs="Times New Roman"/>
                <w:color w:val="000000"/>
                <w:kern w:val="0"/>
                <w:sz w:val="18"/>
                <w:szCs w:val="18"/>
                <w:vertAlign w:val="baseli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980FB65">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0A69C28A">
            <w:pPr>
              <w:keepNext w:val="0"/>
              <w:keepLines w:val="0"/>
              <w:pageBreakBefore w:val="0"/>
              <w:widowControl w:val="0"/>
              <w:kinsoku/>
              <w:wordWrap/>
              <w:overflowPunct/>
              <w:topLinePunct w:val="0"/>
              <w:autoSpaceDE/>
              <w:autoSpaceDN/>
              <w:bidi w:val="0"/>
              <w:adjustRightInd/>
              <w:snapToGrid/>
              <w:spacing w:line="440" w:lineRule="exact"/>
              <w:jc w:val="center"/>
              <w:textAlignment w:val="center"/>
              <w:outlineLvl w:val="9"/>
              <w:rPr>
                <w:rStyle w:val="6"/>
                <w:rFonts w:hint="default" w:ascii="Times New Roman" w:hAnsi="Times New Roman" w:eastAsia="方正小标宋简体" w:cs="Times New Roman"/>
                <w:color w:val="000000"/>
                <w:kern w:val="0"/>
                <w:sz w:val="18"/>
                <w:szCs w:val="18"/>
                <w:vertAlign w:val="baseline"/>
              </w:rPr>
            </w:pPr>
          </w:p>
        </w:tc>
      </w:tr>
    </w:tbl>
    <w:p w14:paraId="6FB0B7CA">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baseline"/>
        <w:rPr>
          <w:rFonts w:hint="default" w:ascii="Times New Roman" w:hAnsi="Times New Roman" w:eastAsia="方正仿宋_GBK" w:cs="Times New Roman"/>
          <w:b/>
          <w:bCs/>
          <w:kern w:val="0"/>
          <w:sz w:val="18"/>
          <w:szCs w:val="18"/>
          <w:lang w:val="en-US" w:eastAsia="zh-CN" w:bidi="ar-SA"/>
        </w:rPr>
      </w:pPr>
      <w:r>
        <w:rPr>
          <w:rFonts w:hint="default" w:ascii="Times New Roman" w:hAnsi="Times New Roman" w:eastAsia="方正仿宋_GBK" w:cs="Times New Roman"/>
          <w:b/>
          <w:bCs/>
          <w:kern w:val="0"/>
          <w:sz w:val="18"/>
          <w:szCs w:val="18"/>
          <w:lang w:val="en-US" w:eastAsia="zh-CN" w:bidi="ar-SA"/>
        </w:rPr>
        <w:t>注：1.上表所列代理购电价格根据当月购电成本测算所得。</w:t>
      </w:r>
    </w:p>
    <w:p w14:paraId="15D22611">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baseline"/>
        <w:rPr>
          <w:rFonts w:hint="default" w:ascii="Times New Roman" w:hAnsi="Times New Roman" w:eastAsia="方正仿宋_GBK" w:cs="Times New Roman"/>
          <w:b/>
          <w:bCs/>
          <w:kern w:val="0"/>
          <w:sz w:val="18"/>
          <w:szCs w:val="18"/>
          <w:lang w:val="en-US" w:eastAsia="zh-CN" w:bidi="ar-SA"/>
        </w:rPr>
      </w:pPr>
      <w:r>
        <w:rPr>
          <w:rFonts w:hint="default" w:ascii="Times New Roman" w:hAnsi="Times New Roman" w:eastAsia="方正仿宋_GBK" w:cs="Times New Roman"/>
          <w:b/>
          <w:bCs/>
          <w:kern w:val="0"/>
          <w:sz w:val="18"/>
          <w:szCs w:val="18"/>
          <w:lang w:val="en-US" w:eastAsia="zh-CN" w:bidi="ar-SA"/>
        </w:rPr>
        <w:t>2.上表所列用电价格由代理购电价格、上网环节线损费用、输配电价、系统运行费用、政府性基金及附加组成。其中政府性基金及附加按照相关政策规定执行：农网还贷资金×分/千瓦时；重大水利工程建设基金×分/千瓦时；大中型水库移民后期扶持资金×分/千瓦时；可再生能源电价附加×分/千瓦时。</w:t>
      </w:r>
    </w:p>
    <w:p w14:paraId="577D9114">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baseline"/>
        <w:rPr>
          <w:rFonts w:hint="default" w:ascii="Times New Roman" w:hAnsi="Times New Roman" w:eastAsia="方正仿宋_GBK" w:cs="Times New Roman"/>
          <w:b/>
          <w:bCs/>
          <w:kern w:val="0"/>
          <w:sz w:val="18"/>
          <w:szCs w:val="18"/>
          <w:highlight w:val="none"/>
          <w:lang w:val="zh-CN" w:eastAsia="zh-CN" w:bidi="ar-SA"/>
        </w:rPr>
      </w:pPr>
      <w:r>
        <w:rPr>
          <w:rFonts w:hint="default" w:ascii="Times New Roman" w:hAnsi="Times New Roman" w:eastAsia="方正仿宋_GBK" w:cs="Times New Roman"/>
          <w:b/>
          <w:bCs/>
          <w:kern w:val="0"/>
          <w:sz w:val="18"/>
          <w:szCs w:val="18"/>
          <w:lang w:val="en-US" w:eastAsia="zh-CN" w:bidi="ar-SA"/>
        </w:rPr>
        <w:t>3.</w:t>
      </w:r>
      <w:r>
        <w:rPr>
          <w:rFonts w:hint="default" w:ascii="Times New Roman" w:hAnsi="Times New Roman" w:eastAsia="方正仿宋_GBK" w:cs="Times New Roman"/>
          <w:b/>
          <w:bCs/>
          <w:kern w:val="0"/>
          <w:sz w:val="18"/>
          <w:szCs w:val="18"/>
          <w:highlight w:val="none"/>
          <w:lang w:val="zh-CN" w:eastAsia="zh-CN" w:bidi="ar-SA"/>
        </w:rPr>
        <w:t>符合我省分时电价政策执行范围的由电网企业代理购电的工商业用户和直接从电力市场购电的工商业用户，执行峰谷分时电价政策。分时电价时段划分：高峰时段×:××-×:××；平段×:××-×:××；低谷时段×:××-×:××。高峰时段电价在平段电价上上浮×%，低谷时段电价在平段电价上下浮×%。</w:t>
      </w:r>
    </w:p>
    <w:p w14:paraId="34E5B2CD">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baseline"/>
        <w:rPr>
          <w:rStyle w:val="6"/>
          <w:rFonts w:hint="default" w:ascii="Times New Roman" w:hAnsi="Times New Roman" w:eastAsia="方正小标宋简体" w:cs="Times New Roman"/>
          <w:color w:val="000000"/>
          <w:kern w:val="0"/>
          <w:sz w:val="28"/>
          <w:szCs w:val="36"/>
        </w:rPr>
      </w:pPr>
      <w:r>
        <w:rPr>
          <w:rFonts w:hint="default" w:ascii="Times New Roman" w:hAnsi="Times New Roman" w:eastAsia="方正仿宋_GBK" w:cs="Times New Roman"/>
          <w:b/>
          <w:bCs/>
          <w:kern w:val="0"/>
          <w:sz w:val="18"/>
          <w:szCs w:val="18"/>
          <w:lang w:val="en-US" w:eastAsia="zh-CN" w:bidi="ar-SA"/>
        </w:rPr>
        <w:t>4.已直接参与市场交易在无正当理由情况下改由电网企业代理购电的用户、拥有燃煤发电自备电厂由电网企业代理购电的用户、由电网企业代理购电的高耗能用户，用电价格由电网企业代理购电价格的1.5倍、上网环节线损费用、输配电价、系统运行费用、政府性基金及附加组成</w:t>
      </w:r>
      <w:r>
        <w:rPr>
          <w:rFonts w:hint="default" w:ascii="Times New Roman" w:hAnsi="Times New Roman" w:eastAsia="方正仿宋_GBK" w:cs="Times New Roman"/>
          <w:b/>
          <w:bCs/>
          <w:kern w:val="0"/>
          <w:sz w:val="18"/>
          <w:szCs w:val="18"/>
        </w:rPr>
        <w:t>。</w:t>
      </w:r>
    </w:p>
    <w:p w14:paraId="0AC1C88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仿宋_GB2312">
    <w:altName w:val="仿宋"/>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97EF4"/>
    <w:rsid w:val="60F9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sz w:val="21"/>
    </w:rPr>
  </w:style>
  <w:style w:type="paragraph" w:styleId="3">
    <w:name w:val="footer"/>
    <w:basedOn w:val="1"/>
    <w:uiPriority w:val="0"/>
    <w:pPr>
      <w:tabs>
        <w:tab w:val="center" w:pos="4153"/>
        <w:tab w:val="right" w:pos="8306"/>
      </w:tabs>
      <w:snapToGrid w:val="0"/>
      <w:jc w:val="left"/>
    </w:pPr>
    <w:rPr>
      <w:sz w:val="18"/>
      <w:szCs w:val="18"/>
    </w:rPr>
  </w:style>
  <w:style w:type="character" w:customStyle="1" w:styleId="6">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2026-01-16T05:40:00Z</dcterms:created>
  <dc:creator>鲍恩</dc:creator>
  <cp:lastModifiedBy>鲍恩</cp:lastModifiedBy>
  <dcterms:modified xsi:type="dcterms:W3CDTF">2026-01-16T05:41:38Z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3954EBCDDD964E2A9E5289AC52A706BD_11</vt:lpwstr>
  </property>
  <property fmtid="{D5CDD505-2E9C-101B-9397-08002B2CF9AE}" pid="4" name="KSOTemplateDocerSaveRecord">
    <vt:lpwstr>eyJoZGlkIjoiNTdkNWNlZTEwYmQ4NmY1YWI4MmJmNGU0YWVhNzViZGQiLCJ1c2VySWQiOiI0NjA2NDI3NzcifQ==</vt:lpwstr>
  </property>
</Properties>
</file>