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53DF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tbl>
      <w:tblPr>
        <w:tblStyle w:val="4"/>
        <w:tblpPr w:leftFromText="180" w:rightFromText="180" w:vertAnchor="text" w:tblpXSpec="center" w:tblpY="1"/>
        <w:tblOverlap w:val="never"/>
        <w:tblW w:w="15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945"/>
        <w:gridCol w:w="949"/>
        <w:gridCol w:w="6985"/>
        <w:gridCol w:w="1786"/>
        <w:gridCol w:w="1791"/>
      </w:tblGrid>
      <w:tr w14:paraId="2C56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519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FB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楷体_GBK" w:cs="Times New Roman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四川省省级代理购电公开信息表</w:t>
            </w:r>
            <w:bookmarkEnd w:id="0"/>
          </w:p>
        </w:tc>
      </w:tr>
      <w:tr w14:paraId="113C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519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2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（执行时间：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20××年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月×日-20××年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日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）</w:t>
            </w:r>
          </w:p>
        </w:tc>
      </w:tr>
      <w:tr w14:paraId="7098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463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7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056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3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单位：万千瓦时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1"/>
                <w:szCs w:val="21"/>
              </w:rPr>
              <w:t>元/千瓦时</w:t>
            </w:r>
          </w:p>
        </w:tc>
      </w:tr>
      <w:tr w14:paraId="78BB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  <w:jc w:val="center"/>
        </w:trPr>
        <w:tc>
          <w:tcPr>
            <w:tcW w:w="274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10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hint="eastAsia" w:eastAsia="方正仿宋_GBK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4E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7934" w:type="dxa"/>
            <w:gridSpan w:val="2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93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明</w:t>
            </w:r>
            <w:r>
              <w:rPr>
                <w:rFonts w:hint="eastAsia" w:eastAsia="方正仿宋_GBK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细</w:t>
            </w:r>
          </w:p>
        </w:tc>
        <w:tc>
          <w:tcPr>
            <w:tcW w:w="178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A8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</w:rPr>
              <w:t>计算关系</w:t>
            </w:r>
          </w:p>
        </w:tc>
        <w:tc>
          <w:tcPr>
            <w:tcW w:w="1791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63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</w:rPr>
              <w:t>数值</w:t>
            </w:r>
          </w:p>
        </w:tc>
      </w:tr>
      <w:tr w14:paraId="1412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2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1B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预测电量</w:t>
            </w: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7E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96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  <w:lang w:eastAsia="zh-CN"/>
              </w:rPr>
              <w:t>代理工商业购电电量规模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CC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</w:rPr>
              <w:t>1=2+3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7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A6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2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D4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7C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26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其中：采购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优先发电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上网电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量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7E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2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45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2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22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A2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EA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采购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市场化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发电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上网电量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FD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4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56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2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98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预测电价</w:t>
            </w: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42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95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代理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  <w:lang w:eastAsia="zh-CN"/>
              </w:rPr>
              <w:t>工商业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购电价格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2E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5+6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F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6CC2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2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EF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A1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43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其中：当月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平均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购电价格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69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3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4024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  <w:jc w:val="center"/>
        </w:trPr>
        <w:tc>
          <w:tcPr>
            <w:tcW w:w="2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37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ED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8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历史偏差电费折价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08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B8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20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2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E4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C0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CD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eastAsia="zh-CN"/>
              </w:rPr>
              <w:t>代理工商业上网环节线损费用折价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8D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28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36EC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2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6B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0B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8A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  <w:t>系统运行费用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  <w:lang w:eastAsia="zh-CN"/>
              </w:rPr>
              <w:t>折合度电水平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2A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8=9+10+11+12+13+14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AA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1E7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exact"/>
          <w:jc w:val="center"/>
        </w:trPr>
        <w:tc>
          <w:tcPr>
            <w:tcW w:w="2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E2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62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CD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其中：1.煤电容量电费折合度电水平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D8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E2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</w:p>
        </w:tc>
      </w:tr>
      <w:tr w14:paraId="26FB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2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FE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77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78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2.天然气发电容量电费折合度电水平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15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2C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06E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  <w:jc w:val="center"/>
        </w:trPr>
        <w:tc>
          <w:tcPr>
            <w:tcW w:w="2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F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2C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15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3.保障居民农业用电价格稳定的新增损益等各项费用折合度电水平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2E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65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6D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  <w:jc w:val="center"/>
        </w:trPr>
        <w:tc>
          <w:tcPr>
            <w:tcW w:w="2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04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5F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9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4.新能源可持续发展价格结算机制差价结算费折合度电水平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BA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84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0CA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2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BB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BA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24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5.跨省跨区电力应急调度差价结算费用折合度电水平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EF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B9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18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  <w:jc w:val="center"/>
        </w:trPr>
        <w:tc>
          <w:tcPr>
            <w:tcW w:w="2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05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9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79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9D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6.辅助服务费折合度电水平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8A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4E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C0B87A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320" w:leftChars="100" w:right="320" w:rightChars="100"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  <w:highlight w:val="none"/>
        </w:rPr>
        <w:t>注：1.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  <w:highlight w:val="none"/>
        </w:rPr>
        <w:t>工商业用户应分摊或分享系统运行费用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  <w:highlight w:val="none"/>
        </w:rPr>
        <w:t>系统运行费用不参与分时电价浮动，不执行1.5倍代理购电价格。上网环节线损费用参与分时电价浮动，不执行1.5倍代理购电价格。</w:t>
      </w:r>
    </w:p>
    <w:p w14:paraId="5D0999C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320" w:leftChars="100" w:right="320" w:rightChars="100" w:firstLine="420" w:firstLineChars="200"/>
        <w:textAlignment w:val="baseline"/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  <w:highlight w:val="none"/>
          <w:lang w:val="en-US" w:eastAsia="zh-CN"/>
        </w:rPr>
        <w:t>当月平均购电价格含燃气发电上网电价差价费用折价×元/千瓦时、燃煤机组运行成本补偿类费用折价×元/千瓦时、外购差额资金折价×元/千瓦时。</w:t>
      </w:r>
    </w:p>
    <w:p w14:paraId="67C5FF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320" w:leftChars="100" w:right="320" w:rightChars="100" w:firstLine="420" w:firstLineChars="200"/>
        <w:textAlignment w:val="baseline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</w:rPr>
        <w:t>直接参与市场交易（即直接向发电企业或售电公司购电）的用户，与四川电网代理购电用户按相同的标准分摊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  <w:lang w:val="en-US" w:eastAsia="zh-CN"/>
        </w:rPr>
        <w:t>或分享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  <w:lang w:val="en-US" w:eastAsia="zh-CN" w:bidi="ar-SA"/>
        </w:rPr>
        <w:t>系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</w:rPr>
        <w:t>统运行费用，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  <w:lang w:val="en-US" w:eastAsia="zh-CN"/>
        </w:rPr>
        <w:t>并承担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  <w:highlight w:val="none"/>
          <w:lang w:val="en-US" w:eastAsia="zh-CN"/>
        </w:rPr>
        <w:t>燃气发电上网电价差价等费用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</w:rPr>
        <w:t>在电费结算环节收取或返还。</w:t>
      </w:r>
    </w:p>
    <w:p w14:paraId="38A6A16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320" w:leftChars="100" w:right="320" w:rightChars="100" w:firstLine="420" w:firstLineChars="200"/>
        <w:textAlignment w:val="baseline"/>
        <w:rPr>
          <w:rFonts w:hint="default" w:ascii="Times New Roman" w:hAnsi="Times New Roman" w:cs="Times New Roman"/>
          <w:sz w:val="21"/>
          <w:szCs w:val="21"/>
        </w:rPr>
        <w:sectPr>
          <w:footerReference r:id="rId3" w:type="default"/>
          <w:pgSz w:w="16838" w:h="11906" w:orient="landscape"/>
          <w:pgMar w:top="1236" w:right="873" w:bottom="1236" w:left="873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1"/>
          <w:szCs w:val="21"/>
          <w:lang w:val="en-US" w:eastAsia="zh-CN"/>
        </w:rPr>
        <w:t>上表中代理工商业购电电量为预测电量。按照代理购电信息公开要求，对代理购电工商业实际电量数据进行公开，××年×月代理购电工商业用户实际用电量为×万千瓦时。</w:t>
      </w:r>
    </w:p>
    <w:p w14:paraId="32F48C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41C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386B9"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2386B9"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B62A4"/>
    <w:rsid w:val="1D5B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2026-01-16T05:45:00Z</dcterms:created>
  <dc:creator>鲍恩</dc:creator>
  <cp:lastModifiedBy>鲍恩</cp:lastModifiedBy>
  <dcterms:modified xsi:type="dcterms:W3CDTF">2026-01-16T05:45:46Z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EC92D6628EB34C33BA5591AE4905A461_11</vt:lpwstr>
  </property>
  <property fmtid="{D5CDD505-2E9C-101B-9397-08002B2CF9AE}" pid="4" name="KSOTemplateDocerSaveRecord">
    <vt:lpwstr>eyJoZGlkIjoiNTdkNWNlZTEwYmQ4NmY1YWI4MmJmNGU0YWVhNzViZGQiLCJ1c2VySWQiOiI0NjA2NDI3NzcifQ==</vt:lpwstr>
  </property>
</Properties>
</file>