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1.0 -->
  <w:body>
    <w:p>
      <w:pPr>
        <w:spacing w:beforeLines="0" w:afterLines="0" w:line="560" w:lineRule="exact"/>
        <w:jc w:val="left"/>
        <w:outlineLvl w:val="0"/>
        <w:rPr>
          <w:rFonts w:ascii="黑体" w:eastAsia="黑体" w:hAnsi="黑体" w:cs="黑体" w:hint="eastAsia"/>
          <w:bCs/>
          <w:sz w:val="32"/>
          <w:szCs w:val="32"/>
          <w:highlight w:val="none"/>
          <w:lang w:val="en-US" w:eastAsia="zh-CN"/>
        </w:rPr>
      </w:pPr>
      <w:r>
        <w:rPr>
          <w:rFonts w:ascii="黑体" w:eastAsia="黑体" w:hAnsi="黑体" w:cs="黑体" w:hint="eastAsia"/>
          <w:bCs/>
          <w:sz w:val="32"/>
          <w:szCs w:val="32"/>
          <w:highlight w:val="none"/>
        </w:rPr>
        <w:t>海南交易〔2026〕8号</w:t>
      </w:r>
      <w:r>
        <w:rPr>
          <w:rFonts w:ascii="黑体" w:eastAsia="黑体" w:hAnsi="黑体" w:cs="黑体" w:hint="eastAsia"/>
          <w:bCs/>
          <w:sz w:val="32"/>
          <w:szCs w:val="32"/>
          <w:highlight w:val="none"/>
          <w:lang w:eastAsia="zh-CN"/>
        </w:rPr>
        <w:t>附件</w:t>
      </w:r>
      <w:r>
        <w:rPr>
          <w:rFonts w:ascii="黑体" w:eastAsia="黑体" w:hAnsi="黑体" w:cs="黑体" w:hint="eastAsia"/>
          <w:bCs/>
          <w:sz w:val="32"/>
          <w:szCs w:val="32"/>
          <w:highlight w:val="none"/>
          <w:lang w:val="en-US" w:eastAsia="zh-CN"/>
        </w:rPr>
        <w:t>1</w:t>
      </w:r>
      <w:bookmarkStart w:id="0" w:name="_GoBack"/>
      <w:bookmarkEnd w:id="0"/>
    </w:p>
    <w:p>
      <w:pPr>
        <w:spacing w:beforeLines="0" w:afterLines="0" w:line="560" w:lineRule="exact"/>
        <w:jc w:val="center"/>
        <w:outlineLvl w:val="0"/>
        <w:rPr>
          <w:rFonts w:ascii="Times New Roman" w:eastAsia="方正小标宋_GBK" w:hAnsi="Times New Roman" w:cs="方正小标宋_GBK" w:hint="eastAsia"/>
          <w:bCs/>
          <w:sz w:val="44"/>
          <w:szCs w:val="44"/>
          <w:highlight w:val="none"/>
        </w:rPr>
      </w:pPr>
    </w:p>
    <w:p>
      <w:pPr>
        <w:spacing w:beforeLines="0" w:afterLines="0" w:line="560" w:lineRule="exact"/>
        <w:jc w:val="center"/>
        <w:outlineLvl w:val="0"/>
        <w:rPr>
          <w:rFonts w:ascii="Times New Roman" w:eastAsia="方正小标宋_GBK" w:hAnsi="Times New Roman" w:cs="方正小标宋_GBK" w:hint="eastAsia"/>
          <w:bCs/>
          <w:sz w:val="44"/>
          <w:szCs w:val="44"/>
          <w:highlight w:val="none"/>
        </w:rPr>
      </w:pPr>
      <w:r>
        <w:rPr>
          <w:rFonts w:ascii="Times New Roman" w:eastAsia="方正小标宋_GBK" w:hAnsi="Times New Roman" w:cs="方正小标宋_GBK" w:hint="eastAsia"/>
          <w:bCs/>
          <w:sz w:val="44"/>
          <w:szCs w:val="44"/>
          <w:highlight w:val="none"/>
        </w:rPr>
        <w:t>海南电力市场连续结算试运行风险</w:t>
      </w:r>
    </w:p>
    <w:p>
      <w:pPr>
        <w:spacing w:beforeLines="0" w:afterLines="0" w:line="560" w:lineRule="exact"/>
        <w:jc w:val="center"/>
        <w:outlineLvl w:val="0"/>
        <w:rPr>
          <w:rFonts w:ascii="Times New Roman" w:eastAsia="方正小标宋_GBK" w:hAnsi="Times New Roman" w:cs="方正小标宋_GBK" w:hint="default"/>
          <w:bCs/>
          <w:sz w:val="44"/>
          <w:szCs w:val="44"/>
          <w:highlight w:val="none"/>
          <w:lang w:val="en-US" w:eastAsia="zh-CN"/>
        </w:rPr>
      </w:pPr>
      <w:r>
        <w:rPr>
          <w:rFonts w:ascii="Times New Roman" w:eastAsia="方正小标宋_GBK" w:hAnsi="Times New Roman" w:cs="方正小标宋_GBK" w:hint="eastAsia"/>
          <w:bCs/>
          <w:sz w:val="44"/>
          <w:szCs w:val="44"/>
          <w:highlight w:val="none"/>
        </w:rPr>
        <w:t>处置</w:t>
      </w:r>
      <w:r>
        <w:rPr>
          <w:rFonts w:ascii="Times New Roman" w:eastAsia="方正小标宋_GBK" w:hAnsi="Times New Roman" w:cs="方正小标宋_GBK" w:hint="default"/>
          <w:bCs/>
          <w:sz w:val="44"/>
          <w:szCs w:val="44"/>
          <w:highlight w:val="none"/>
          <w:lang w:val="en-US" w:eastAsia="zh-CN"/>
        </w:rPr>
        <w:t>预案</w:t>
      </w:r>
      <w:r>
        <w:rPr>
          <w:rFonts w:ascii="Times New Roman" w:eastAsia="方正小标宋_GBK" w:hAnsi="Times New Roman" w:cs="方正小标宋_GBK" w:hint="eastAsia"/>
          <w:bCs/>
          <w:sz w:val="44"/>
          <w:szCs w:val="44"/>
          <w:highlight w:val="none"/>
          <w:lang w:val="en-US" w:eastAsia="zh-CN"/>
        </w:rPr>
        <w:t>（征求意见稿）</w:t>
      </w:r>
    </w:p>
    <w:p>
      <w:pPr>
        <w:spacing w:beforeLines="0" w:afterLines="0" w:line="560" w:lineRule="exact"/>
        <w:jc w:val="center"/>
        <w:outlineLvl w:val="0"/>
        <w:rPr>
          <w:rFonts w:ascii="Times New Roman" w:eastAsia="方正小标宋_GBK" w:hAnsi="Times New Roman" w:cs="方正小标宋_GBK" w:hint="default"/>
          <w:bCs/>
          <w:sz w:val="44"/>
          <w:szCs w:val="44"/>
          <w:highlight w:val="none"/>
          <w:lang w:val="en-US" w:eastAsia="zh-CN"/>
        </w:rPr>
      </w:pPr>
    </w:p>
    <w:p>
      <w:pPr>
        <w:pStyle w:val="a"/>
        <w:numPr>
          <w:ilvl w:val="0"/>
          <w:numId w:val="4"/>
        </w:numPr>
        <w:tabs>
          <w:tab w:val="left" w:pos="0"/>
          <w:tab w:val="clear" w:pos="420"/>
          <w:tab w:val="left" w:pos="1900"/>
          <w:tab w:val="left" w:pos="2422"/>
        </w:tabs>
        <w:spacing w:before="0" w:beforeLines="0" w:after="0" w:afterLines="0"/>
        <w:ind w:firstLine="0" w:firstLineChars="0"/>
        <w:jc w:val="center"/>
        <w:outlineLvl w:val="0"/>
        <w:rPr>
          <w:rFonts w:ascii="Times New Roman" w:eastAsia="黑体" w:hAnsi="Times New Roman" w:cs="黑体"/>
          <w:highlight w:val="none"/>
          <w:lang w:val="en-US"/>
        </w:rPr>
      </w:pPr>
      <w:r>
        <w:rPr>
          <w:rFonts w:ascii="Times New Roman" w:eastAsia="黑体" w:hAnsi="Times New Roman" w:cs="黑体" w:hint="eastAsia"/>
          <w:highlight w:val="none"/>
          <w:lang w:val="en-US"/>
        </w:rPr>
        <w:t>总则</w:t>
      </w:r>
    </w:p>
    <w:p>
      <w:pPr>
        <w:pStyle w:val="a"/>
        <w:spacing w:beforeLines="0" w:afterLines="0"/>
        <w:ind w:left="0" w:firstLine="0"/>
        <w:rPr>
          <w:highlight w:val="none"/>
          <w:lang w:val="en-US"/>
        </w:rPr>
      </w:pPr>
      <w:r>
        <w:rPr>
          <w:rFonts w:hint="eastAsia"/>
          <w:highlight w:val="none"/>
          <w:lang w:val="en-US" w:eastAsia="zh-CN"/>
        </w:rPr>
        <w:t xml:space="preserve"> </w:t>
      </w:r>
      <w:r>
        <w:rPr>
          <w:rFonts w:hint="eastAsia"/>
          <w:highlight w:val="none"/>
          <w:lang w:val="en-US"/>
        </w:rPr>
        <w:t>为保障海南电力市场正常秩序，及时、规范防范和化解市场风险，依据《中华人民共和国突发事件应对法》</w:t>
      </w:r>
      <w:r>
        <w:rPr>
          <w:rFonts w:hint="eastAsia"/>
          <w:highlight w:val="none"/>
          <w:lang w:val="en-US" w:eastAsia="zh-CN"/>
        </w:rPr>
        <w:t>《电力中长期市场基本规则》</w:t>
      </w:r>
      <w:r>
        <w:rPr>
          <w:rFonts w:hint="eastAsia"/>
          <w:highlight w:val="none"/>
          <w:lang w:val="en-US"/>
        </w:rPr>
        <w:t>《电力市场运行基本规则》《电力现货市场基本规则》《南方区域电力市场连续结算试运行风险处置方案》以及南方区域电力市场</w:t>
      </w:r>
      <w:r>
        <w:rPr>
          <w:rFonts w:hint="eastAsia"/>
          <w:highlight w:val="none"/>
          <w:lang w:val="en-US" w:eastAsia="zh-CN"/>
        </w:rPr>
        <w:t>相关</w:t>
      </w:r>
      <w:r>
        <w:rPr>
          <w:rFonts w:hint="eastAsia"/>
          <w:highlight w:val="none"/>
          <w:lang w:val="en-US"/>
        </w:rPr>
        <w:t>规则</w:t>
      </w:r>
      <w:r>
        <w:rPr>
          <w:rFonts w:hint="eastAsia"/>
          <w:highlight w:val="none"/>
          <w:lang w:val="en-US" w:eastAsia="zh-CN"/>
        </w:rPr>
        <w:t>、海南电力市场相关规则</w:t>
      </w:r>
      <w:r>
        <w:rPr>
          <w:rFonts w:hint="eastAsia"/>
          <w:highlight w:val="none"/>
          <w:lang w:val="en-US"/>
        </w:rPr>
        <w:t>，制定本预案。</w:t>
      </w:r>
    </w:p>
    <w:p>
      <w:pPr>
        <w:pStyle w:val="a"/>
        <w:spacing w:beforeLines="0" w:afterLines="0"/>
        <w:ind w:left="0" w:firstLine="0"/>
        <w:rPr>
          <w:highlight w:val="none"/>
          <w:lang w:val="en-US"/>
        </w:rPr>
      </w:pPr>
      <w:r>
        <w:rPr>
          <w:rFonts w:hint="eastAsia"/>
          <w:highlight w:val="none"/>
          <w:lang w:val="en-US" w:eastAsia="zh-CN"/>
        </w:rPr>
        <w:t xml:space="preserve"> </w:t>
      </w:r>
      <w:r>
        <w:rPr>
          <w:rFonts w:hint="eastAsia"/>
          <w:highlight w:val="none"/>
          <w:lang w:val="en-US"/>
        </w:rPr>
        <w:t>适用于</w:t>
      </w:r>
      <w:r>
        <w:rPr>
          <w:rFonts w:hint="eastAsia"/>
          <w:highlight w:val="none"/>
          <w:lang w:val="en-US" w:eastAsia="zh-CN"/>
        </w:rPr>
        <w:t>海南</w:t>
      </w:r>
      <w:r>
        <w:rPr>
          <w:rFonts w:hint="eastAsia"/>
          <w:highlight w:val="none"/>
          <w:lang w:val="en-US"/>
        </w:rPr>
        <w:t>电力市场连续结算试运行期间的市场风险处置工作。</w:t>
      </w:r>
    </w:p>
    <w:p>
      <w:pPr>
        <w:pStyle w:val="a"/>
        <w:numPr>
          <w:ilvl w:val="0"/>
          <w:numId w:val="4"/>
        </w:numPr>
        <w:tabs>
          <w:tab w:val="left" w:pos="0"/>
          <w:tab w:val="clear" w:pos="420"/>
          <w:tab w:val="left" w:pos="1900"/>
          <w:tab w:val="left" w:pos="2422"/>
        </w:tabs>
        <w:spacing w:before="0" w:beforeLines="0" w:after="0" w:afterLines="0"/>
        <w:ind w:firstLine="0" w:firstLineChars="0"/>
        <w:jc w:val="center"/>
        <w:outlineLvl w:val="0"/>
        <w:rPr>
          <w:rFonts w:ascii="Times New Roman" w:eastAsia="黑体" w:hAnsi="Times New Roman" w:cs="黑体"/>
          <w:highlight w:val="none"/>
          <w:lang w:val="en-US"/>
        </w:rPr>
      </w:pPr>
      <w:r>
        <w:rPr>
          <w:rFonts w:ascii="Times New Roman" w:eastAsia="黑体" w:hAnsi="Times New Roman" w:cs="黑体" w:hint="eastAsia"/>
          <w:highlight w:val="none"/>
          <w:lang w:val="en-US"/>
        </w:rPr>
        <w:t>职责分工</w:t>
      </w:r>
    </w:p>
    <w:p>
      <w:pPr>
        <w:pStyle w:val="a"/>
        <w:spacing w:beforeLines="0" w:afterLines="0"/>
        <w:ind w:firstLine="0"/>
        <w:rPr>
          <w:highlight w:val="none"/>
        </w:rPr>
      </w:pPr>
      <w:r>
        <w:rPr>
          <w:rFonts w:hint="eastAsia"/>
          <w:highlight w:val="none"/>
          <w:lang w:val="en-US" w:eastAsia="zh-CN"/>
        </w:rPr>
        <w:t xml:space="preserve"> </w:t>
      </w:r>
      <w:r>
        <w:rPr>
          <w:rFonts w:hint="eastAsia"/>
          <w:highlight w:val="none"/>
        </w:rPr>
        <w:t>市场运营机构（包括电力交易</w:t>
      </w:r>
      <w:r>
        <w:rPr>
          <w:rFonts w:hint="default"/>
          <w:highlight w:val="none"/>
          <w:lang w:val="en-US"/>
        </w:rPr>
        <w:t>机构</w:t>
      </w:r>
      <w:r>
        <w:rPr>
          <w:rFonts w:hint="eastAsia"/>
          <w:highlight w:val="none"/>
        </w:rPr>
        <w:t>和电力调度</w:t>
      </w:r>
      <w:r>
        <w:rPr>
          <w:rFonts w:hint="default"/>
          <w:highlight w:val="none"/>
          <w:lang w:val="en-US"/>
        </w:rPr>
        <w:t>机构</w:t>
      </w:r>
      <w:r>
        <w:rPr>
          <w:rFonts w:hint="eastAsia"/>
          <w:highlight w:val="none"/>
        </w:rPr>
        <w:t>）负责按照职责分工开展市场风险处置，负责风险识别、监测预警和预案制定，按授权实施市场熔断，研判风险态势并提出处置建议，执行政府主管部门与监管机构要求，组织实施市场中止、恢复等操作并进行信息披露与公告发布。</w:t>
      </w:r>
    </w:p>
    <w:p>
      <w:pPr>
        <w:pStyle w:val="a"/>
        <w:spacing w:beforeLines="0" w:afterLines="0"/>
        <w:ind w:firstLine="0"/>
        <w:rPr>
          <w:highlight w:val="none"/>
          <w:lang w:val="en-US"/>
        </w:rPr>
      </w:pPr>
      <w:r>
        <w:rPr>
          <w:rFonts w:hint="eastAsia"/>
          <w:highlight w:val="none"/>
          <w:lang w:val="en-US" w:eastAsia="zh-CN"/>
        </w:rPr>
        <w:t xml:space="preserve"> 经营主体负责协同处置风险，严格遵守市场规则与交易合同，建立内部风险管控体系。在风险处置期间，服从统一调度指挥，配合落实负荷调节、机组启停等应急措施等。</w:t>
      </w:r>
    </w:p>
    <w:p>
      <w:pPr>
        <w:pStyle w:val="a"/>
        <w:spacing w:beforeLines="0" w:afterLines="0"/>
        <w:ind w:firstLine="0"/>
        <w:rPr>
          <w:highlight w:val="none"/>
          <w:lang w:val="en-US"/>
        </w:rPr>
      </w:pPr>
      <w:r>
        <w:rPr>
          <w:rFonts w:hint="eastAsia"/>
          <w:highlight w:val="none"/>
          <w:lang w:val="en-US" w:eastAsia="zh-CN"/>
        </w:rPr>
        <w:t xml:space="preserve"> 海南电力</w:t>
      </w:r>
      <w:r>
        <w:rPr>
          <w:rFonts w:hint="eastAsia"/>
          <w:highlight w:val="none"/>
          <w:lang w:val="en-US"/>
        </w:rPr>
        <w:t>市场管理委员会研究讨论</w:t>
      </w:r>
      <w:r>
        <w:rPr>
          <w:rFonts w:hint="eastAsia"/>
          <w:highlight w:val="none"/>
          <w:lang w:val="en-US" w:eastAsia="zh-CN"/>
        </w:rPr>
        <w:t>海南</w:t>
      </w:r>
      <w:r>
        <w:rPr>
          <w:rFonts w:hint="eastAsia"/>
          <w:highlight w:val="none"/>
          <w:lang w:val="en-US"/>
        </w:rPr>
        <w:t>电力市场</w:t>
      </w:r>
      <w:r>
        <w:rPr>
          <w:rFonts w:hint="eastAsia"/>
          <w:highlight w:val="none"/>
          <w:lang w:val="en-US" w:eastAsia="zh-CN"/>
        </w:rPr>
        <w:t>相关</w:t>
      </w:r>
      <w:r>
        <w:rPr>
          <w:rFonts w:hint="eastAsia"/>
          <w:highlight w:val="none"/>
          <w:lang w:val="en-US"/>
        </w:rPr>
        <w:t>实施细则及方案，审议细则、方案和关键市场参数的标准与取值。</w:t>
      </w:r>
    </w:p>
    <w:p>
      <w:pPr>
        <w:pStyle w:val="a"/>
        <w:numPr>
          <w:ilvl w:val="0"/>
          <w:numId w:val="4"/>
        </w:numPr>
        <w:tabs>
          <w:tab w:val="left" w:pos="0"/>
          <w:tab w:val="clear" w:pos="420"/>
          <w:tab w:val="left" w:pos="1900"/>
          <w:tab w:val="left" w:pos="2422"/>
        </w:tabs>
        <w:spacing w:before="0" w:beforeLines="0" w:after="0" w:afterLines="0"/>
        <w:ind w:firstLine="0" w:firstLineChars="0"/>
        <w:jc w:val="center"/>
        <w:outlineLvl w:val="0"/>
        <w:rPr>
          <w:rFonts w:ascii="Times New Roman" w:eastAsia="黑体" w:hAnsi="Times New Roman" w:cs="黑体"/>
          <w:highlight w:val="none"/>
          <w:lang w:val="en-US"/>
        </w:rPr>
      </w:pPr>
      <w:r>
        <w:rPr>
          <w:rFonts w:ascii="Times New Roman" w:eastAsia="黑体" w:hAnsi="Times New Roman" w:cs="黑体" w:hint="eastAsia"/>
          <w:highlight w:val="none"/>
          <w:lang w:val="en-US"/>
        </w:rPr>
        <w:t>风险</w:t>
      </w:r>
      <w:r>
        <w:rPr>
          <w:rFonts w:ascii="Times New Roman" w:eastAsia="黑体" w:hAnsi="Times New Roman" w:cs="黑体" w:hint="eastAsia"/>
          <w:highlight w:val="none"/>
          <w:lang w:val="en-US" w:eastAsia="zh-CN"/>
        </w:rPr>
        <w:t>分类及风险分级</w:t>
      </w:r>
    </w:p>
    <w:p>
      <w:pPr>
        <w:pStyle w:val="a"/>
        <w:spacing w:beforeLines="0" w:afterLines="0"/>
        <w:ind w:left="0" w:firstLine="0"/>
        <w:rPr>
          <w:highlight w:val="none"/>
          <w:lang w:val="en-US"/>
        </w:rPr>
      </w:pPr>
      <w:r>
        <w:rPr>
          <w:rFonts w:hint="eastAsia"/>
          <w:highlight w:val="none"/>
          <w:lang w:val="en-US" w:eastAsia="zh-CN"/>
        </w:rPr>
        <w:t xml:space="preserve"> 根据《南方区域电力市场连续结算试运行风险处置方案》《电力中长期市场基本规则》，</w:t>
      </w:r>
      <w:r>
        <w:rPr>
          <w:rFonts w:hint="eastAsia"/>
          <w:highlight w:val="none"/>
          <w:lang w:val="en-US"/>
        </w:rPr>
        <w:t>市场风险可分为电力供需</w:t>
      </w:r>
      <w:r>
        <w:rPr>
          <w:rFonts w:hint="eastAsia"/>
          <w:highlight w:val="none"/>
          <w:lang w:val="en-US" w:eastAsia="zh-CN"/>
        </w:rPr>
        <w:t>失衡</w:t>
      </w:r>
      <w:r>
        <w:rPr>
          <w:rFonts w:hint="eastAsia"/>
          <w:highlight w:val="none"/>
          <w:lang w:val="en-US"/>
        </w:rPr>
        <w:t>风险、市场价格异常风险、电力系统安全运行风险、</w:t>
      </w:r>
      <w:r>
        <w:rPr>
          <w:rFonts w:hint="eastAsia"/>
          <w:highlight w:val="none"/>
          <w:lang w:val="en-US" w:eastAsia="zh-CN"/>
        </w:rPr>
        <w:t>不正当竞争风险、</w:t>
      </w:r>
      <w:r>
        <w:rPr>
          <w:rFonts w:ascii="Times New Roman" w:hAnsi="Times New Roman" w:hint="eastAsia"/>
          <w:highlight w:val="none"/>
        </w:rPr>
        <w:t>技术支持系统</w:t>
      </w:r>
      <w:r>
        <w:rPr>
          <w:rFonts w:ascii="Times New Roman" w:hAnsi="Times New Roman" w:hint="eastAsia"/>
          <w:highlight w:val="none"/>
          <w:lang w:val="en-US" w:eastAsia="zh-CN"/>
        </w:rPr>
        <w:t>运行异常</w:t>
      </w:r>
      <w:r>
        <w:rPr>
          <w:rFonts w:ascii="Times New Roman" w:hAnsi="Times New Roman" w:hint="eastAsia"/>
          <w:highlight w:val="none"/>
        </w:rPr>
        <w:t>风险</w:t>
      </w:r>
      <w:r>
        <w:rPr>
          <w:rFonts w:ascii="Times New Roman" w:hAnsi="Times New Roman" w:hint="eastAsia"/>
          <w:highlight w:val="none"/>
          <w:lang w:eastAsia="zh-CN"/>
        </w:rPr>
        <w:t>（</w:t>
      </w:r>
      <w:r>
        <w:rPr>
          <w:rFonts w:ascii="Times New Roman" w:hAnsi="Times New Roman" w:hint="eastAsia"/>
          <w:highlight w:val="none"/>
          <w:lang w:val="en-US" w:eastAsia="zh-CN"/>
        </w:rPr>
        <w:t>含网络安全风险，下同</w:t>
      </w:r>
      <w:r>
        <w:rPr>
          <w:rFonts w:ascii="Times New Roman" w:hAnsi="Times New Roman" w:hint="eastAsia"/>
          <w:highlight w:val="none"/>
          <w:lang w:eastAsia="zh-CN"/>
        </w:rPr>
        <w:t>）</w:t>
      </w:r>
      <w:r>
        <w:rPr>
          <w:rFonts w:hint="eastAsia"/>
          <w:highlight w:val="none"/>
          <w:lang w:val="en-US"/>
        </w:rPr>
        <w:t>、合同违约风险</w:t>
      </w:r>
      <w:r>
        <w:rPr>
          <w:rFonts w:hint="eastAsia"/>
          <w:highlight w:val="none"/>
          <w:lang w:val="en-US" w:eastAsia="zh-CN"/>
        </w:rPr>
        <w:t>和其他市场风险</w:t>
      </w:r>
      <w:r>
        <w:rPr>
          <w:rFonts w:hint="eastAsia"/>
          <w:highlight w:val="none"/>
          <w:lang w:val="en-US"/>
        </w:rPr>
        <w:t>。</w:t>
      </w:r>
    </w:p>
    <w:p>
      <w:pPr>
        <w:pStyle w:val="NormalIndent"/>
        <w:numPr>
          <w:ilvl w:val="0"/>
          <w:numId w:val="5"/>
        </w:numPr>
        <w:spacing w:beforeLines="0" w:afterLines="0"/>
        <w:rPr>
          <w:rFonts w:ascii="Times New Roman" w:hAnsi="Times New Roman"/>
          <w:highlight w:val="none"/>
        </w:rPr>
      </w:pPr>
      <w:r>
        <w:rPr>
          <w:rFonts w:ascii="Times New Roman" w:hAnsi="Times New Roman" w:hint="eastAsia"/>
          <w:highlight w:val="none"/>
        </w:rPr>
        <w:t>电力供需</w:t>
      </w:r>
      <w:r>
        <w:rPr>
          <w:rFonts w:ascii="Times New Roman" w:hAnsi="Times New Roman" w:hint="eastAsia"/>
          <w:highlight w:val="none"/>
          <w:lang w:val="en-US" w:eastAsia="zh-CN"/>
        </w:rPr>
        <w:t>失衡</w:t>
      </w:r>
      <w:r>
        <w:rPr>
          <w:rFonts w:ascii="Times New Roman" w:hAnsi="Times New Roman" w:hint="eastAsia"/>
          <w:highlight w:val="none"/>
        </w:rPr>
        <w:t>风险，指电力供应与需求大幅波动、超出正常预测偏差范围，影响电力系统供需平衡的风险。</w:t>
      </w:r>
    </w:p>
    <w:p>
      <w:pPr>
        <w:pStyle w:val="NormalIndent"/>
        <w:numPr>
          <w:ilvl w:val="0"/>
          <w:numId w:val="5"/>
        </w:numPr>
        <w:spacing w:beforeLines="0" w:afterLines="0"/>
        <w:rPr>
          <w:rFonts w:ascii="Times New Roman" w:hAnsi="Times New Roman"/>
          <w:highlight w:val="none"/>
        </w:rPr>
      </w:pPr>
      <w:r>
        <w:rPr>
          <w:rFonts w:ascii="Times New Roman" w:hAnsi="Times New Roman" w:hint="eastAsia"/>
          <w:highlight w:val="none"/>
        </w:rPr>
        <w:t>市场价格异常风险，指部分时段或局部地区市场价格持续偏高或偏低，波动范围或持续时间明显超过正常变化范围的风险。</w:t>
      </w:r>
    </w:p>
    <w:p>
      <w:pPr>
        <w:pStyle w:val="NormalIndent"/>
        <w:numPr>
          <w:ilvl w:val="0"/>
          <w:numId w:val="5"/>
        </w:numPr>
        <w:spacing w:beforeLines="0" w:afterLines="0"/>
        <w:rPr>
          <w:rFonts w:ascii="Times New Roman" w:hAnsi="Times New Roman"/>
          <w:highlight w:val="none"/>
        </w:rPr>
      </w:pPr>
      <w:r>
        <w:rPr>
          <w:rFonts w:ascii="Times New Roman" w:hAnsi="Times New Roman" w:hint="eastAsia"/>
          <w:highlight w:val="none"/>
        </w:rPr>
        <w:t>电力系统安全运行风险，指电力系统在运行中承受扰动时，无法承受住扰动引起的暂态过程并过渡到一个可接受的运行工况，或者在新的运行工况下，各种约束条件不能得到满足的风险。</w:t>
      </w:r>
    </w:p>
    <w:p>
      <w:pPr>
        <w:pStyle w:val="NormalIndent"/>
        <w:numPr>
          <w:ilvl w:val="0"/>
          <w:numId w:val="5"/>
        </w:numPr>
        <w:spacing w:beforeLines="0" w:afterLines="0"/>
        <w:rPr>
          <w:rFonts w:ascii="Times New Roman" w:hAnsi="Times New Roman"/>
          <w:highlight w:val="none"/>
        </w:rPr>
      </w:pPr>
      <w:r>
        <w:rPr>
          <w:rFonts w:ascii="Times New Roman" w:hAnsi="Times New Roman" w:hint="eastAsia"/>
          <w:highlight w:val="none"/>
          <w:lang w:val="en-US" w:eastAsia="zh-CN"/>
        </w:rPr>
        <w:t>不正当竞争风险，指经营主体违反市场规则、公平竞争原则和相关法律法规，操纵市场价格、抢占交易份额、排除或限制竞争，进而导致电力市场秩序紊乱、交易结果失真、电价异常波动、经营主体合法权益受损等风险。</w:t>
      </w:r>
    </w:p>
    <w:p>
      <w:pPr>
        <w:pStyle w:val="NormalIndent"/>
        <w:numPr>
          <w:ilvl w:val="0"/>
          <w:numId w:val="5"/>
        </w:numPr>
        <w:spacing w:beforeLines="0" w:afterLines="0"/>
        <w:rPr>
          <w:rFonts w:ascii="Times New Roman" w:hAnsi="Times New Roman"/>
          <w:highlight w:val="none"/>
        </w:rPr>
      </w:pPr>
      <w:r>
        <w:rPr>
          <w:rFonts w:ascii="Times New Roman" w:hAnsi="Times New Roman" w:hint="eastAsia"/>
          <w:highlight w:val="none"/>
        </w:rPr>
        <w:t>技术支持系统</w:t>
      </w:r>
      <w:r>
        <w:rPr>
          <w:rFonts w:ascii="Times New Roman" w:hAnsi="Times New Roman" w:hint="eastAsia"/>
          <w:highlight w:val="none"/>
          <w:lang w:val="en-US" w:eastAsia="zh-CN"/>
        </w:rPr>
        <w:t>运行异常</w:t>
      </w:r>
      <w:r>
        <w:rPr>
          <w:rFonts w:ascii="Times New Roman" w:hAnsi="Times New Roman" w:hint="eastAsia"/>
          <w:highlight w:val="none"/>
        </w:rPr>
        <w:t>风险，指支撑电力市场的</w:t>
      </w:r>
      <w:r>
        <w:rPr>
          <w:rFonts w:ascii="Times New Roman" w:hAnsi="Times New Roman" w:hint="eastAsia"/>
          <w:highlight w:val="none"/>
          <w:lang w:val="en-US" w:eastAsia="zh-CN"/>
        </w:rPr>
        <w:t xml:space="preserve">  </w:t>
      </w:r>
      <w:r>
        <w:rPr>
          <w:rFonts w:ascii="Times New Roman" w:hAnsi="Times New Roman" w:hint="eastAsia"/>
          <w:highlight w:val="none"/>
        </w:rPr>
        <w:t>各类技术支持系统出现异常或不可用状态，影响市场正常运行的风险。</w:t>
      </w:r>
    </w:p>
    <w:p>
      <w:pPr>
        <w:pStyle w:val="NormalIndent"/>
        <w:keepNext w:val="0"/>
        <w:keepLines w:val="0"/>
        <w:pageBreakBefore w:val="0"/>
        <w:widowControl w:val="0"/>
        <w:numPr>
          <w:ilvl w:val="0"/>
          <w:numId w:val="5"/>
        </w:numPr>
        <w:kinsoku/>
        <w:wordWrap/>
        <w:overflowPunct/>
        <w:topLinePunct w:val="0"/>
        <w:autoSpaceDE/>
        <w:autoSpaceDN/>
        <w:bidi w:val="0"/>
        <w:adjustRightInd/>
        <w:snapToGrid/>
        <w:spacing w:beforeLines="0" w:afterLines="0"/>
        <w:ind w:left="0" w:firstLine="640" w:leftChars="0" w:firstLineChars="200"/>
        <w:textAlignment w:val="auto"/>
        <w:rPr>
          <w:rFonts w:ascii="Times New Roman" w:hAnsi="Times New Roman" w:hint="eastAsia"/>
          <w:highlight w:val="none"/>
          <w:lang w:val="en-US" w:eastAsia="zh-CN"/>
        </w:rPr>
      </w:pPr>
      <w:r>
        <w:rPr>
          <w:rFonts w:ascii="Times New Roman" w:hAnsi="Times New Roman" w:hint="eastAsia"/>
          <w:highlight w:val="none"/>
        </w:rPr>
        <w:t>合同违约风险，指经营主体签订的批发、零售合同，由于经营主体失信、存在争议或不可抗力等原因而不能正常履行，影响市场结算工作正常开展的风险</w:t>
      </w:r>
      <w:r>
        <w:rPr>
          <w:rFonts w:ascii="Times New Roman" w:hAnsi="Times New Roman" w:hint="eastAsia"/>
          <w:highlight w:val="none"/>
          <w:lang w:val="en-US" w:eastAsia="zh-CN"/>
        </w:rPr>
        <w:t>。</w:t>
      </w:r>
    </w:p>
    <w:p>
      <w:pPr>
        <w:pStyle w:val="NormalIndent"/>
        <w:keepNext w:val="0"/>
        <w:keepLines w:val="0"/>
        <w:pageBreakBefore w:val="0"/>
        <w:widowControl w:val="0"/>
        <w:numPr>
          <w:ilvl w:val="0"/>
          <w:numId w:val="5"/>
        </w:numPr>
        <w:kinsoku/>
        <w:wordWrap/>
        <w:overflowPunct/>
        <w:topLinePunct w:val="0"/>
        <w:autoSpaceDE/>
        <w:autoSpaceDN/>
        <w:bidi w:val="0"/>
        <w:adjustRightInd/>
        <w:snapToGrid/>
        <w:spacing w:beforeLines="0" w:afterLines="0"/>
        <w:ind w:left="0" w:firstLine="640" w:leftChars="0" w:firstLineChars="200"/>
        <w:textAlignment w:val="auto"/>
        <w:rPr>
          <w:rFonts w:ascii="Times New Roman" w:hAnsi="Times New Roman" w:hint="default"/>
          <w:highlight w:val="none"/>
          <w:lang w:val="en-US" w:eastAsia="zh-CN"/>
        </w:rPr>
      </w:pPr>
      <w:r>
        <w:rPr>
          <w:rFonts w:ascii="Times New Roman" w:hAnsi="Times New Roman" w:hint="eastAsia"/>
          <w:highlight w:val="none"/>
          <w:lang w:val="en-US" w:eastAsia="zh-CN"/>
        </w:rPr>
        <w:t>其他市场风险，指除了上述六类风险外，其他可能影响市场平稳运行、损害市场主体合法权益或威胁电力系统安全的各类潜在风险。</w:t>
      </w:r>
    </w:p>
    <w:p>
      <w:pPr>
        <w:pStyle w:val="a"/>
        <w:spacing w:beforeLines="0" w:afterLines="0"/>
        <w:ind w:left="0" w:firstLine="0"/>
        <w:rPr>
          <w:rFonts w:ascii="Times New Roman" w:eastAsia="仿宋_GB2312" w:hAnsi="Times New Roman" w:cs="仿宋" w:hint="eastAsia"/>
          <w:kern w:val="2"/>
          <w:sz w:val="32"/>
          <w:szCs w:val="32"/>
          <w:highlight w:val="none"/>
          <w:lang w:val="en-US" w:eastAsia="zh-CN" w:bidi="ar-SA"/>
        </w:rPr>
      </w:pPr>
      <w:r>
        <w:rPr>
          <w:rFonts w:ascii="Times New Roman" w:hAnsi="Times New Roman" w:cs="仿宋" w:hint="eastAsia"/>
          <w:kern w:val="2"/>
          <w:sz w:val="32"/>
          <w:szCs w:val="32"/>
          <w:highlight w:val="none"/>
          <w:lang w:val="en-US" w:eastAsia="zh-CN" w:bidi="ar-SA"/>
        </w:rPr>
        <w:t xml:space="preserve"> 根据</w:t>
      </w:r>
      <w:r>
        <w:rPr>
          <w:rFonts w:ascii="Times New Roman" w:eastAsia="仿宋_GB2312" w:hAnsi="Times New Roman" w:cs="仿宋" w:hint="eastAsia"/>
          <w:kern w:val="2"/>
          <w:sz w:val="32"/>
          <w:szCs w:val="32"/>
          <w:highlight w:val="none"/>
          <w:lang w:val="en-US" w:eastAsia="zh-CN" w:bidi="ar-SA"/>
        </w:rPr>
        <w:t>《南方区域电力市场连续结算试运行风险处置方案》，连续结算试运行风险分为一般风险和重大风险。</w:t>
      </w:r>
    </w:p>
    <w:p>
      <w:pPr>
        <w:pStyle w:val="a"/>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640" w:firstLineChars="200"/>
        <w:textAlignment w:val="auto"/>
        <w:rPr>
          <w:rFonts w:ascii="Times New Roman" w:eastAsia="仿宋_GB2312" w:hAnsi="Times New Roman" w:cs="仿宋" w:hint="default"/>
          <w:kern w:val="2"/>
          <w:sz w:val="32"/>
          <w:szCs w:val="32"/>
          <w:highlight w:val="none"/>
          <w:lang w:val="en-US" w:eastAsia="zh-CN" w:bidi="ar-SA"/>
        </w:rPr>
      </w:pPr>
      <w:r>
        <w:rPr>
          <w:rFonts w:ascii="仿宋_GB2312" w:eastAsia="仿宋_GB2312" w:hAnsi="仿宋_GB2312" w:cs="仿宋_GB2312" w:hint="eastAsia"/>
          <w:kern w:val="2"/>
          <w:sz w:val="32"/>
          <w:szCs w:val="32"/>
          <w:highlight w:val="none"/>
          <w:lang w:val="en-US" w:eastAsia="zh-CN" w:bidi="ar-SA"/>
        </w:rPr>
        <w:t>（</w:t>
      </w:r>
      <w:r>
        <w:rPr>
          <w:rFonts w:cs="仿宋_GB2312" w:hint="eastAsia"/>
          <w:kern w:val="2"/>
          <w:sz w:val="32"/>
          <w:szCs w:val="32"/>
          <w:highlight w:val="none"/>
          <w:lang w:val="en-US" w:eastAsia="zh-CN" w:bidi="ar-SA"/>
        </w:rPr>
        <w:t>一</w:t>
      </w:r>
      <w:r>
        <w:rPr>
          <w:rFonts w:ascii="仿宋_GB2312" w:eastAsia="仿宋_GB2312" w:hAnsi="仿宋_GB2312" w:cs="仿宋_GB2312" w:hint="eastAsia"/>
          <w:kern w:val="2"/>
          <w:sz w:val="32"/>
          <w:szCs w:val="32"/>
          <w:highlight w:val="none"/>
          <w:lang w:val="en-US" w:eastAsia="zh-CN" w:bidi="ar-SA"/>
        </w:rPr>
        <w:t>）</w:t>
      </w:r>
      <w:r>
        <w:rPr>
          <w:rFonts w:ascii="Times New Roman" w:eastAsia="仿宋_GB2312" w:hAnsi="Times New Roman" w:cs="仿宋" w:hint="default"/>
          <w:kern w:val="2"/>
          <w:sz w:val="32"/>
          <w:szCs w:val="32"/>
          <w:highlight w:val="none"/>
          <w:lang w:val="en-US" w:eastAsia="zh-CN" w:bidi="ar-SA"/>
        </w:rPr>
        <w:t>重大风险指对现货市场结算试运行造成重大影响，可能导致</w:t>
      </w:r>
      <w:r>
        <w:rPr>
          <w:rFonts w:ascii="Times New Roman" w:eastAsia="仿宋_GB2312" w:hAnsi="Times New Roman" w:cs="仿宋" w:hint="eastAsia"/>
          <w:kern w:val="2"/>
          <w:sz w:val="32"/>
          <w:szCs w:val="32"/>
          <w:highlight w:val="none"/>
          <w:lang w:val="en-US" w:eastAsia="zh-CN" w:bidi="ar-SA"/>
        </w:rPr>
        <w:t>海南</w:t>
      </w:r>
      <w:r>
        <w:rPr>
          <w:rFonts w:ascii="Times New Roman" w:eastAsia="仿宋_GB2312" w:hAnsi="Times New Roman" w:cs="仿宋" w:hint="default"/>
          <w:kern w:val="2"/>
          <w:sz w:val="32"/>
          <w:szCs w:val="32"/>
          <w:highlight w:val="none"/>
          <w:lang w:val="en-US" w:eastAsia="zh-CN" w:bidi="ar-SA"/>
        </w:rPr>
        <w:t>或者全区域现货结算试运行出现市场熔断或者市场中止</w:t>
      </w:r>
      <w:r>
        <w:rPr>
          <w:rFonts w:ascii="Times New Roman" w:hAnsi="Times New Roman" w:cs="仿宋" w:hint="eastAsia"/>
          <w:kern w:val="2"/>
          <w:sz w:val="32"/>
          <w:szCs w:val="32"/>
          <w:highlight w:val="none"/>
          <w:lang w:val="en-US" w:eastAsia="zh-CN" w:bidi="ar-SA"/>
        </w:rPr>
        <w:t>的风险</w:t>
      </w:r>
      <w:r>
        <w:rPr>
          <w:rFonts w:ascii="Times New Roman" w:eastAsia="仿宋_GB2312" w:hAnsi="Times New Roman" w:cs="仿宋" w:hint="default"/>
          <w:kern w:val="2"/>
          <w:sz w:val="32"/>
          <w:szCs w:val="32"/>
          <w:highlight w:val="none"/>
          <w:lang w:val="en-US" w:eastAsia="zh-CN" w:bidi="ar-SA"/>
        </w:rPr>
        <w:t>。</w:t>
      </w:r>
      <w:r>
        <w:rPr>
          <w:rFonts w:ascii="Times New Roman" w:hAnsi="Times New Roman" w:cs="仿宋" w:hint="eastAsia"/>
          <w:kern w:val="2"/>
          <w:sz w:val="32"/>
          <w:szCs w:val="32"/>
          <w:highlight w:val="none"/>
          <w:lang w:val="en-US" w:eastAsia="zh-CN" w:bidi="ar-SA"/>
        </w:rPr>
        <w:t>重大风险的相关处置原则、处置措施、处置决策程序、处置期间的替代市场机制等，参照</w:t>
      </w:r>
      <w:r>
        <w:rPr>
          <w:rFonts w:ascii="Times New Roman" w:eastAsia="仿宋_GB2312" w:hAnsi="Times New Roman" w:cs="仿宋" w:hint="eastAsia"/>
          <w:kern w:val="2"/>
          <w:sz w:val="32"/>
          <w:szCs w:val="32"/>
          <w:highlight w:val="none"/>
          <w:lang w:val="en-US" w:eastAsia="zh-CN" w:bidi="ar-SA"/>
        </w:rPr>
        <w:t>《南方区域电力市场连续结算试运行风险处置方案》</w:t>
      </w:r>
      <w:r>
        <w:rPr>
          <w:rFonts w:ascii="Times New Roman" w:hAnsi="Times New Roman" w:cs="仿宋" w:hint="eastAsia"/>
          <w:kern w:val="2"/>
          <w:sz w:val="32"/>
          <w:szCs w:val="32"/>
          <w:highlight w:val="none"/>
          <w:lang w:val="en-US" w:eastAsia="zh-CN" w:bidi="ar-SA"/>
        </w:rPr>
        <w:t>执行。</w:t>
      </w:r>
    </w:p>
    <w:p>
      <w:pPr>
        <w:pStyle w:val="a"/>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640" w:firstLineChars="200"/>
        <w:textAlignment w:val="auto"/>
        <w:rPr>
          <w:rFonts w:ascii="Times New Roman" w:eastAsia="仿宋_GB2312" w:hAnsi="Times New Roman" w:cs="仿宋" w:hint="eastAsia"/>
          <w:kern w:val="2"/>
          <w:sz w:val="32"/>
          <w:szCs w:val="32"/>
          <w:highlight w:val="none"/>
          <w:lang w:val="en-US" w:eastAsia="zh-CN" w:bidi="ar-SA"/>
        </w:rPr>
      </w:pPr>
      <w:r>
        <w:rPr>
          <w:rFonts w:ascii="仿宋_GB2312" w:eastAsia="仿宋_GB2312" w:hAnsi="仿宋_GB2312" w:cs="仿宋_GB2312" w:hint="eastAsia"/>
          <w:kern w:val="2"/>
          <w:sz w:val="32"/>
          <w:szCs w:val="32"/>
          <w:highlight w:val="none"/>
          <w:lang w:val="en-US" w:eastAsia="zh-CN" w:bidi="ar-SA"/>
        </w:rPr>
        <w:t>（</w:t>
      </w:r>
      <w:r>
        <w:rPr>
          <w:rFonts w:cs="仿宋_GB2312" w:hint="eastAsia"/>
          <w:kern w:val="2"/>
          <w:sz w:val="32"/>
          <w:szCs w:val="32"/>
          <w:highlight w:val="none"/>
          <w:lang w:val="en-US" w:eastAsia="zh-CN" w:bidi="ar-SA"/>
        </w:rPr>
        <w:t>二</w:t>
      </w:r>
      <w:r>
        <w:rPr>
          <w:rFonts w:ascii="仿宋_GB2312" w:eastAsia="仿宋_GB2312" w:hAnsi="仿宋_GB2312" w:cs="仿宋_GB2312" w:hint="eastAsia"/>
          <w:kern w:val="2"/>
          <w:sz w:val="32"/>
          <w:szCs w:val="32"/>
          <w:highlight w:val="none"/>
          <w:lang w:val="en-US" w:eastAsia="zh-CN" w:bidi="ar-SA"/>
        </w:rPr>
        <w:t>）</w:t>
      </w:r>
      <w:r>
        <w:rPr>
          <w:rFonts w:ascii="Times New Roman" w:eastAsia="仿宋_GB2312" w:hAnsi="Times New Roman" w:cs="仿宋" w:hint="eastAsia"/>
          <w:kern w:val="2"/>
          <w:sz w:val="32"/>
          <w:szCs w:val="32"/>
          <w:highlight w:val="none"/>
          <w:lang w:val="en-US" w:eastAsia="zh-CN" w:bidi="ar-SA"/>
        </w:rPr>
        <w:t>一般风险指不对现货市场结算试运行造成重大影响，不会导致市场熔断或者市场中止</w:t>
      </w:r>
      <w:r>
        <w:rPr>
          <w:rFonts w:ascii="Times New Roman" w:hAnsi="Times New Roman" w:cs="仿宋" w:hint="eastAsia"/>
          <w:kern w:val="2"/>
          <w:sz w:val="32"/>
          <w:szCs w:val="32"/>
          <w:highlight w:val="none"/>
          <w:lang w:val="en-US" w:eastAsia="zh-CN" w:bidi="ar-SA"/>
        </w:rPr>
        <w:t>的风险。一般风险</w:t>
      </w:r>
      <w:r>
        <w:rPr>
          <w:rFonts w:ascii="Times New Roman" w:eastAsia="仿宋_GB2312" w:hAnsi="Times New Roman" w:cs="仿宋" w:hint="eastAsia"/>
          <w:kern w:val="2"/>
          <w:sz w:val="32"/>
          <w:szCs w:val="32"/>
          <w:highlight w:val="none"/>
          <w:lang w:val="en-US" w:eastAsia="zh-CN" w:bidi="ar-SA"/>
        </w:rPr>
        <w:t>由市场运营机构开展风险识别、市场监测和应急处置等相关工作。</w:t>
      </w:r>
    </w:p>
    <w:p>
      <w:pPr>
        <w:pStyle w:val="a"/>
        <w:numPr>
          <w:ilvl w:val="0"/>
          <w:numId w:val="4"/>
        </w:numPr>
        <w:tabs>
          <w:tab w:val="left" w:pos="0"/>
          <w:tab w:val="clear" w:pos="420"/>
          <w:tab w:val="left" w:pos="1900"/>
          <w:tab w:val="left" w:pos="2422"/>
        </w:tabs>
        <w:spacing w:before="0" w:beforeLines="0" w:after="0" w:afterLines="0"/>
        <w:ind w:firstLine="0" w:firstLineChars="0"/>
        <w:jc w:val="center"/>
        <w:outlineLvl w:val="0"/>
        <w:rPr>
          <w:rFonts w:ascii="Times New Roman" w:eastAsia="黑体" w:hAnsi="Times New Roman" w:cs="黑体"/>
          <w:highlight w:val="none"/>
          <w:lang w:val="en-US"/>
        </w:rPr>
      </w:pPr>
      <w:r>
        <w:rPr>
          <w:rFonts w:ascii="Times New Roman" w:eastAsia="黑体" w:hAnsi="Times New Roman" w:cs="黑体" w:hint="eastAsia"/>
          <w:highlight w:val="none"/>
          <w:lang w:val="en-US" w:eastAsia="zh-CN"/>
        </w:rPr>
        <w:t>一般</w:t>
      </w:r>
      <w:r>
        <w:rPr>
          <w:rFonts w:ascii="Times New Roman" w:eastAsia="黑体" w:hAnsi="Times New Roman" w:cs="黑体" w:hint="eastAsia"/>
          <w:highlight w:val="none"/>
          <w:lang w:val="en-US"/>
        </w:rPr>
        <w:t>风险</w:t>
      </w:r>
      <w:r>
        <w:rPr>
          <w:rFonts w:ascii="Times New Roman" w:eastAsia="黑体" w:hAnsi="Times New Roman" w:cs="黑体" w:hint="eastAsia"/>
          <w:highlight w:val="none"/>
          <w:lang w:val="en-US" w:eastAsia="zh-CN"/>
        </w:rPr>
        <w:t>主要场景</w:t>
      </w:r>
      <w:r>
        <w:rPr>
          <w:rFonts w:ascii="Times New Roman" w:eastAsia="黑体" w:hAnsi="Times New Roman" w:cs="黑体" w:hint="eastAsia"/>
          <w:highlight w:val="none"/>
          <w:lang w:val="en-US"/>
        </w:rPr>
        <w:t>和处置措施</w:t>
      </w:r>
    </w:p>
    <w:p>
      <w:pPr>
        <w:pStyle w:val="a"/>
        <w:spacing w:beforeLines="0" w:afterLines="0"/>
        <w:ind w:left="0" w:firstLine="0"/>
        <w:rPr>
          <w:highlight w:val="none"/>
          <w:lang w:val="en-US"/>
        </w:rPr>
      </w:pPr>
      <w:r>
        <w:rPr>
          <w:rFonts w:hint="eastAsia"/>
          <w:highlight w:val="none"/>
          <w:lang w:val="en-US" w:eastAsia="zh-CN"/>
        </w:rPr>
        <w:t xml:space="preserve"> </w:t>
      </w:r>
      <w:r>
        <w:rPr>
          <w:rFonts w:hint="eastAsia"/>
          <w:highlight w:val="none"/>
          <w:lang w:val="en-US"/>
        </w:rPr>
        <w:t>可能引起</w:t>
      </w:r>
      <w:r>
        <w:rPr>
          <w:rFonts w:hint="eastAsia"/>
          <w:highlight w:val="none"/>
          <w:lang w:val="en-US" w:eastAsia="zh-CN"/>
        </w:rPr>
        <w:t>一般</w:t>
      </w:r>
      <w:r>
        <w:rPr>
          <w:rFonts w:hint="eastAsia"/>
          <w:highlight w:val="none"/>
          <w:lang w:val="en-US"/>
        </w:rPr>
        <w:t>风险的</w:t>
      </w:r>
      <w:r>
        <w:rPr>
          <w:rFonts w:hint="eastAsia"/>
          <w:highlight w:val="none"/>
          <w:lang w:val="en-US" w:eastAsia="zh-CN"/>
        </w:rPr>
        <w:t>主要场景</w:t>
      </w:r>
      <w:r>
        <w:rPr>
          <w:rFonts w:hint="eastAsia"/>
          <w:highlight w:val="none"/>
          <w:lang w:val="en-US"/>
        </w:rPr>
        <w:t>包括但不限于以下情形：</w:t>
      </w:r>
    </w:p>
    <w:p>
      <w:pPr>
        <w:pStyle w:val="NormalIndent"/>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640" w:firstLineChars="200"/>
        <w:textAlignment w:val="auto"/>
        <w:rPr>
          <w:rFonts w:ascii="Times New Roman" w:hAnsi="Times New Roman" w:hint="eastAsia"/>
          <w:highlight w:val="none"/>
          <w:lang w:eastAsia="zh-CN"/>
        </w:rPr>
      </w:pPr>
      <w:r>
        <w:rPr>
          <w:rFonts w:ascii="Times New Roman" w:hAnsi="Times New Roman" w:hint="eastAsia"/>
          <w:highlight w:val="none"/>
          <w:lang w:eastAsia="zh-CN"/>
        </w:rPr>
        <w:t>（</w:t>
      </w:r>
      <w:r>
        <w:rPr>
          <w:rFonts w:ascii="Times New Roman" w:hAnsi="Times New Roman" w:hint="eastAsia"/>
          <w:highlight w:val="none"/>
          <w:lang w:val="en-US" w:eastAsia="zh-CN"/>
        </w:rPr>
        <w:t>一</w:t>
      </w:r>
      <w:r>
        <w:rPr>
          <w:rFonts w:ascii="Times New Roman" w:hAnsi="Times New Roman" w:hint="eastAsia"/>
          <w:highlight w:val="none"/>
          <w:lang w:eastAsia="zh-CN"/>
        </w:rPr>
        <w:t>）</w:t>
      </w:r>
      <w:r>
        <w:rPr>
          <w:rFonts w:ascii="Times New Roman" w:hAnsi="Times New Roman" w:hint="eastAsia"/>
          <w:highlight w:val="none"/>
        </w:rPr>
        <w:t>电力供需</w:t>
      </w:r>
      <w:r>
        <w:rPr>
          <w:rFonts w:ascii="Times New Roman" w:hAnsi="Times New Roman" w:hint="eastAsia"/>
          <w:highlight w:val="none"/>
          <w:lang w:val="en-US" w:eastAsia="zh-CN"/>
        </w:rPr>
        <w:t>失衡</w:t>
      </w:r>
      <w:r>
        <w:rPr>
          <w:rFonts w:ascii="Times New Roman" w:hAnsi="Times New Roman" w:hint="eastAsia"/>
          <w:highlight w:val="none"/>
        </w:rPr>
        <w:t>风险</w:t>
      </w:r>
      <w:r>
        <w:rPr>
          <w:rFonts w:ascii="Times New Roman" w:hAnsi="Times New Roman" w:hint="eastAsia"/>
          <w:highlight w:val="none"/>
          <w:lang w:eastAsia="zh-CN"/>
        </w:rPr>
        <w:t>。</w:t>
      </w:r>
    </w:p>
    <w:p>
      <w:pPr>
        <w:pStyle w:val="NormalIndent"/>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640" w:firstLineChars="200"/>
        <w:textAlignment w:val="auto"/>
        <w:rPr>
          <w:rFonts w:ascii="Times New Roman" w:hAnsi="Times New Roman"/>
          <w:highlight w:val="none"/>
        </w:rPr>
      </w:pPr>
      <w:r>
        <w:rPr>
          <w:rFonts w:ascii="Times New Roman" w:hAnsi="Times New Roman" w:hint="eastAsia"/>
          <w:b/>
          <w:bCs/>
          <w:highlight w:val="none"/>
          <w:lang w:val="en-US" w:eastAsia="zh-CN"/>
        </w:rPr>
        <w:t>场景</w:t>
      </w:r>
      <w:r>
        <w:rPr>
          <w:rFonts w:ascii="仿宋_GB2312" w:eastAsia="仿宋_GB2312" w:hAnsi="仿宋_GB2312" w:cs="仿宋_GB2312" w:hint="eastAsia"/>
          <w:b/>
          <w:bCs/>
          <w:highlight w:val="none"/>
          <w:lang w:val="en-US" w:eastAsia="zh-CN"/>
        </w:rPr>
        <w:t>1</w:t>
      </w:r>
      <w:r>
        <w:rPr>
          <w:rFonts w:ascii="Times New Roman" w:hAnsi="Times New Roman" w:hint="eastAsia"/>
          <w:b/>
          <w:bCs/>
          <w:highlight w:val="none"/>
          <w:lang w:val="en-US" w:eastAsia="zh-CN"/>
        </w:rPr>
        <w:t>：</w:t>
      </w:r>
      <w:r>
        <w:rPr>
          <w:rFonts w:ascii="Times New Roman" w:hAnsi="Times New Roman" w:hint="eastAsia"/>
          <w:highlight w:val="none"/>
        </w:rPr>
        <w:t>因不可抗力、有序用电等原因，致使系统供需平衡面临</w:t>
      </w:r>
      <w:r>
        <w:rPr>
          <w:rFonts w:ascii="Times New Roman" w:hAnsi="Times New Roman" w:hint="eastAsia"/>
          <w:highlight w:val="none"/>
          <w:lang w:val="en-US" w:eastAsia="zh-CN"/>
        </w:rPr>
        <w:t>较大</w:t>
      </w:r>
      <w:r>
        <w:rPr>
          <w:rFonts w:ascii="Times New Roman" w:hAnsi="Times New Roman" w:hint="eastAsia"/>
          <w:highlight w:val="none"/>
        </w:rPr>
        <w:t>冲击、负荷预测偏差急剧扩大等情形。</w:t>
      </w:r>
    </w:p>
    <w:p>
      <w:pPr>
        <w:pStyle w:val="NormalIndent"/>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640" w:firstLineChars="200"/>
        <w:textAlignment w:val="auto"/>
        <w:rPr>
          <w:rFonts w:ascii="Times New Roman" w:hAnsi="Times New Roman"/>
          <w:highlight w:val="none"/>
        </w:rPr>
      </w:pPr>
      <w:r>
        <w:rPr>
          <w:rFonts w:ascii="Times New Roman" w:hAnsi="Times New Roman" w:hint="eastAsia"/>
          <w:b/>
          <w:bCs/>
          <w:highlight w:val="none"/>
          <w:lang w:val="en-US" w:eastAsia="zh-CN"/>
        </w:rPr>
        <w:t>处置方式：</w:t>
      </w:r>
      <w:r>
        <w:rPr>
          <w:rFonts w:ascii="Times New Roman" w:hAnsi="Times New Roman" w:hint="eastAsia"/>
          <w:highlight w:val="none"/>
          <w:lang w:val="en-US" w:eastAsia="zh-CN"/>
        </w:rPr>
        <w:t>经营主体可根据实际情况，通过中长期交易调整发用电合同。对不可抗力情况下，导致中长期合同超签等情况造成严重亏损的，由经营主体向政府提出申请，经政府同意后免除偏差考核。</w:t>
      </w:r>
    </w:p>
    <w:p>
      <w:pPr>
        <w:pStyle w:val="NormalIndent"/>
        <w:keepNext w:val="0"/>
        <w:keepLines w:val="0"/>
        <w:pageBreakBefore w:val="0"/>
        <w:widowControl w:val="0"/>
        <w:numPr>
          <w:ilvl w:val="0"/>
          <w:numId w:val="6"/>
        </w:numPr>
        <w:kinsoku/>
        <w:wordWrap/>
        <w:overflowPunct/>
        <w:topLinePunct w:val="0"/>
        <w:autoSpaceDE/>
        <w:autoSpaceDN/>
        <w:bidi w:val="0"/>
        <w:adjustRightInd/>
        <w:snapToGrid/>
        <w:spacing w:beforeLines="0" w:afterLines="0"/>
        <w:ind w:firstLine="640" w:firstLineChars="200"/>
        <w:textAlignment w:val="auto"/>
        <w:rPr>
          <w:rFonts w:ascii="Times New Roman" w:hAnsi="Times New Roman" w:hint="eastAsia"/>
          <w:highlight w:val="none"/>
          <w:lang w:eastAsia="zh-CN"/>
        </w:rPr>
      </w:pPr>
      <w:r>
        <w:rPr>
          <w:rFonts w:ascii="Times New Roman" w:hAnsi="Times New Roman" w:hint="eastAsia"/>
          <w:highlight w:val="none"/>
        </w:rPr>
        <w:t>市场价格异常风险</w:t>
      </w:r>
      <w:r>
        <w:rPr>
          <w:rFonts w:ascii="Times New Roman" w:hAnsi="Times New Roman" w:hint="eastAsia"/>
          <w:highlight w:val="none"/>
          <w:lang w:eastAsia="zh-CN"/>
        </w:rPr>
        <w:t>。</w:t>
      </w:r>
    </w:p>
    <w:p>
      <w:pPr>
        <w:pStyle w:val="NormalIndent"/>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640" w:firstLineChars="200"/>
        <w:textAlignment w:val="auto"/>
        <w:rPr>
          <w:rFonts w:ascii="Times New Roman" w:hAnsi="Times New Roman"/>
          <w:highlight w:val="none"/>
        </w:rPr>
      </w:pPr>
      <w:r>
        <w:rPr>
          <w:rFonts w:ascii="Times New Roman" w:hAnsi="Times New Roman" w:hint="eastAsia"/>
          <w:b/>
          <w:bCs/>
          <w:highlight w:val="none"/>
          <w:lang w:val="en-US" w:eastAsia="zh-CN"/>
        </w:rPr>
        <w:t>场景</w:t>
      </w:r>
      <w:r>
        <w:rPr>
          <w:rFonts w:ascii="仿宋_GB2312" w:eastAsia="仿宋_GB2312" w:hAnsi="仿宋_GB2312" w:cs="仿宋_GB2312" w:hint="eastAsia"/>
          <w:b/>
          <w:bCs/>
          <w:highlight w:val="none"/>
          <w:lang w:val="en-US" w:eastAsia="zh-CN"/>
        </w:rPr>
        <w:t>2</w:t>
      </w:r>
      <w:r>
        <w:rPr>
          <w:rFonts w:ascii="Times New Roman" w:hAnsi="Times New Roman" w:hint="eastAsia"/>
          <w:b/>
          <w:bCs/>
          <w:highlight w:val="none"/>
          <w:lang w:val="en-US" w:eastAsia="zh-CN"/>
        </w:rPr>
        <w:t>：</w:t>
      </w:r>
      <w:r>
        <w:rPr>
          <w:rFonts w:ascii="Times New Roman" w:hAnsi="Times New Roman" w:hint="eastAsia"/>
          <w:highlight w:val="none"/>
          <w:lang w:val="en-US" w:eastAsia="zh-CN"/>
        </w:rPr>
        <w:t>因</w:t>
      </w:r>
      <w:r>
        <w:rPr>
          <w:rFonts w:ascii="Times New Roman" w:hAnsi="Times New Roman" w:hint="eastAsia"/>
          <w:highlight w:val="none"/>
        </w:rPr>
        <w:t>发生突发性的社会事件、气候异常和自然灾害等原因，试运行月发生大面积缺电，现货价格大幅上涨</w:t>
      </w:r>
      <w:r>
        <w:rPr>
          <w:rFonts w:ascii="Times New Roman" w:hAnsi="Times New Roman" w:hint="eastAsia"/>
          <w:highlight w:val="none"/>
          <w:lang w:eastAsia="zh-CN"/>
        </w:rPr>
        <w:t>。</w:t>
      </w:r>
    </w:p>
    <w:p>
      <w:pPr>
        <w:pStyle w:val="NormalIndent"/>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640" w:firstLineChars="200"/>
        <w:textAlignment w:val="auto"/>
        <w:rPr>
          <w:rFonts w:ascii="Times New Roman" w:hAnsi="Times New Roman" w:hint="eastAsia"/>
          <w:b w:val="0"/>
          <w:bCs w:val="0"/>
          <w:highlight w:val="none"/>
          <w:lang w:val="en-US" w:eastAsia="zh-CN"/>
        </w:rPr>
      </w:pPr>
      <w:r>
        <w:rPr>
          <w:rFonts w:ascii="Times New Roman" w:hAnsi="Times New Roman" w:hint="eastAsia"/>
          <w:b/>
          <w:bCs/>
          <w:highlight w:val="none"/>
          <w:lang w:val="en-US" w:eastAsia="zh-CN"/>
        </w:rPr>
        <w:t>处置方式：</w:t>
      </w:r>
    </w:p>
    <w:p>
      <w:pPr>
        <w:pStyle w:val="NormalIndent"/>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640" w:firstLineChars="200"/>
        <w:textAlignment w:val="auto"/>
        <w:rPr>
          <w:rFonts w:ascii="Times New Roman" w:hAnsi="Times New Roman" w:hint="eastAsia"/>
          <w:b w:val="0"/>
          <w:bCs w:val="0"/>
          <w:highlight w:val="none"/>
          <w:lang w:val="en-US" w:eastAsia="zh-CN"/>
        </w:rPr>
      </w:pPr>
      <w:r>
        <w:rPr>
          <w:rFonts w:ascii="仿宋_GB2312" w:eastAsia="仿宋_GB2312" w:hAnsi="仿宋_GB2312" w:cs="仿宋_GB2312" w:hint="eastAsia"/>
          <w:b w:val="0"/>
          <w:bCs w:val="0"/>
          <w:highlight w:val="none"/>
          <w:lang w:val="en-US" w:eastAsia="zh-CN"/>
        </w:rPr>
        <w:t>1.</w:t>
      </w:r>
      <w:r>
        <w:rPr>
          <w:rFonts w:ascii="Times New Roman" w:hAnsi="Times New Roman" w:hint="eastAsia"/>
          <w:b w:val="0"/>
          <w:bCs w:val="0"/>
          <w:highlight w:val="none"/>
          <w:lang w:val="en-US" w:eastAsia="zh-CN"/>
        </w:rPr>
        <w:t>全省电力供应总体充裕阶段，电力调度机构应针对负荷陡升、关键电源或通道临时停运导致的潜在供应风险，合理提高高峰备用约束，协调外购电应急支援，预留足够的应急手段。</w:t>
      </w:r>
    </w:p>
    <w:p>
      <w:pPr>
        <w:pStyle w:val="NormalIndent"/>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640" w:firstLineChars="200"/>
        <w:textAlignment w:val="auto"/>
        <w:rPr>
          <w:rFonts w:ascii="Times New Roman" w:hAnsi="Times New Roman" w:hint="eastAsia"/>
          <w:b w:val="0"/>
          <w:bCs w:val="0"/>
          <w:highlight w:val="none"/>
          <w:lang w:val="en-US" w:eastAsia="zh-CN"/>
        </w:rPr>
      </w:pPr>
      <w:r>
        <w:rPr>
          <w:rFonts w:ascii="仿宋_GB2312" w:eastAsia="仿宋_GB2312" w:hAnsi="仿宋_GB2312" w:cs="仿宋_GB2312" w:hint="eastAsia"/>
          <w:b w:val="0"/>
          <w:bCs w:val="0"/>
          <w:highlight w:val="none"/>
          <w:lang w:val="en-US" w:eastAsia="zh-CN"/>
        </w:rPr>
        <w:t>2.</w:t>
      </w:r>
      <w:r>
        <w:rPr>
          <w:rFonts w:ascii="Times New Roman" w:hAnsi="Times New Roman" w:hint="eastAsia"/>
          <w:b w:val="0"/>
          <w:bCs w:val="0"/>
          <w:highlight w:val="none"/>
          <w:lang w:val="en-US" w:eastAsia="zh-CN"/>
        </w:rPr>
        <w:t>全省电力供应趋紧阶段，若预计存在电力供应不足风险，电力调度机构应提前</w:t>
      </w:r>
      <w:r>
        <w:rPr>
          <w:rFonts w:ascii="仿宋_GB2312" w:eastAsia="仿宋_GB2312" w:hAnsi="仿宋_GB2312" w:cs="仿宋_GB2312" w:hint="eastAsia"/>
          <w:b w:val="0"/>
          <w:bCs w:val="0"/>
          <w:highlight w:val="none"/>
          <w:lang w:val="en-US" w:eastAsia="zh-CN"/>
        </w:rPr>
        <w:t>3</w:t>
      </w:r>
      <w:r>
        <w:rPr>
          <w:rFonts w:ascii="Times New Roman" w:hAnsi="Times New Roman" w:hint="eastAsia"/>
          <w:b w:val="0"/>
          <w:bCs w:val="0"/>
          <w:highlight w:val="none"/>
          <w:lang w:val="en-US" w:eastAsia="zh-CN"/>
        </w:rPr>
        <w:t>天向各方发布预警信息，按照政府主管部门下达的各地市有序用电计划，组织非受限地区供电局启动有序用电安排。日前市场运行时，电力调度机构按照实施有序用电后的预测可见负荷进行现货出清和信息披露。实时市场运行期间，电力调度机构根据系统供需情况，指挥各地区严格执行。</w:t>
      </w:r>
    </w:p>
    <w:p>
      <w:pPr>
        <w:pStyle w:val="NormalIndent"/>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640" w:firstLineChars="200"/>
        <w:textAlignment w:val="auto"/>
        <w:rPr>
          <w:rFonts w:ascii="Times New Roman" w:hAnsi="Times New Roman" w:hint="eastAsia"/>
          <w:b w:val="0"/>
          <w:bCs w:val="0"/>
          <w:highlight w:val="none"/>
          <w:lang w:val="en-US" w:eastAsia="zh-CN"/>
        </w:rPr>
      </w:pPr>
      <w:r>
        <w:rPr>
          <w:rFonts w:ascii="仿宋_GB2312" w:eastAsia="仿宋_GB2312" w:hAnsi="仿宋_GB2312" w:cs="仿宋_GB2312" w:hint="eastAsia"/>
          <w:b w:val="0"/>
          <w:bCs w:val="0"/>
          <w:highlight w:val="none"/>
          <w:lang w:val="en-US" w:eastAsia="zh-CN"/>
        </w:rPr>
        <w:t>3.</w:t>
      </w:r>
      <w:r>
        <w:rPr>
          <w:rFonts w:ascii="Times New Roman" w:hAnsi="Times New Roman" w:hint="eastAsia"/>
          <w:b w:val="0"/>
          <w:bCs w:val="0"/>
          <w:highlight w:val="none"/>
          <w:lang w:val="en-US" w:eastAsia="zh-CN"/>
        </w:rPr>
        <w:t>当因缺电导致现货价格大幅上涨，导致经营主体亏损严重时，由经营主体向政府提出申请，事后专题处理。</w:t>
      </w:r>
    </w:p>
    <w:p>
      <w:pPr>
        <w:pStyle w:val="NormalIndent"/>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640" w:firstLineChars="200"/>
        <w:textAlignment w:val="auto"/>
        <w:rPr>
          <w:rFonts w:ascii="Times New Roman" w:hAnsi="Times New Roman" w:hint="default"/>
          <w:b w:val="0"/>
          <w:bCs w:val="0"/>
          <w:highlight w:val="none"/>
          <w:lang w:val="en-US"/>
        </w:rPr>
      </w:pPr>
      <w:r>
        <w:rPr>
          <w:rFonts w:ascii="仿宋_GB2312" w:eastAsia="仿宋_GB2312" w:hAnsi="仿宋_GB2312" w:cs="仿宋_GB2312" w:hint="eastAsia"/>
          <w:b w:val="0"/>
          <w:bCs w:val="0"/>
          <w:highlight w:val="none"/>
          <w:lang w:val="en-US" w:eastAsia="zh-CN"/>
        </w:rPr>
        <w:t>4.</w:t>
      </w:r>
      <w:r>
        <w:rPr>
          <w:rFonts w:ascii="Times New Roman" w:hAnsi="Times New Roman" w:hint="eastAsia"/>
          <w:b w:val="0"/>
          <w:bCs w:val="0"/>
          <w:highlight w:val="none"/>
          <w:lang w:val="en-US" w:eastAsia="zh-CN"/>
        </w:rPr>
        <w:t>视市场运行情况，调整现货申报和出清价格上限。</w:t>
      </w:r>
    </w:p>
    <w:p>
      <w:pPr>
        <w:pStyle w:val="NormalIndent"/>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640" w:firstLineChars="200"/>
        <w:textAlignment w:val="auto"/>
        <w:rPr>
          <w:rFonts w:ascii="Times New Roman" w:hAnsi="Times New Roman" w:hint="eastAsia"/>
          <w:highlight w:val="none"/>
          <w:lang w:eastAsia="zh-CN"/>
        </w:rPr>
      </w:pPr>
      <w:r>
        <w:rPr>
          <w:rFonts w:ascii="Times New Roman" w:hAnsi="Times New Roman" w:hint="eastAsia"/>
          <w:highlight w:val="none"/>
          <w:lang w:eastAsia="zh-CN"/>
        </w:rPr>
        <w:t>（</w:t>
      </w:r>
      <w:r>
        <w:rPr>
          <w:rFonts w:ascii="Times New Roman" w:hAnsi="Times New Roman" w:hint="eastAsia"/>
          <w:highlight w:val="none"/>
          <w:lang w:val="en-US" w:eastAsia="zh-CN"/>
        </w:rPr>
        <w:t>三</w:t>
      </w:r>
      <w:r>
        <w:rPr>
          <w:rFonts w:ascii="Times New Roman" w:hAnsi="Times New Roman" w:hint="eastAsia"/>
          <w:highlight w:val="none"/>
          <w:lang w:eastAsia="zh-CN"/>
        </w:rPr>
        <w:t>）</w:t>
      </w:r>
      <w:r>
        <w:rPr>
          <w:rFonts w:ascii="Times New Roman" w:hAnsi="Times New Roman" w:hint="eastAsia"/>
          <w:highlight w:val="none"/>
        </w:rPr>
        <w:t>电力系统安全运行风险</w:t>
      </w:r>
      <w:r>
        <w:rPr>
          <w:rFonts w:ascii="Times New Roman" w:hAnsi="Times New Roman" w:hint="eastAsia"/>
          <w:highlight w:val="none"/>
          <w:lang w:eastAsia="zh-CN"/>
        </w:rPr>
        <w:t>。</w:t>
      </w:r>
    </w:p>
    <w:p>
      <w:pPr>
        <w:pStyle w:val="NormalIndent"/>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640" w:firstLineChars="200"/>
        <w:textAlignment w:val="auto"/>
        <w:rPr>
          <w:rFonts w:ascii="Times New Roman" w:hAnsi="Times New Roman"/>
          <w:highlight w:val="none"/>
        </w:rPr>
      </w:pPr>
      <w:r>
        <w:rPr>
          <w:rFonts w:ascii="Times New Roman" w:hAnsi="Times New Roman" w:hint="eastAsia"/>
          <w:b/>
          <w:bCs/>
          <w:highlight w:val="none"/>
          <w:lang w:val="en-US" w:eastAsia="zh-CN"/>
        </w:rPr>
        <w:t>场景</w:t>
      </w:r>
      <w:r>
        <w:rPr>
          <w:rFonts w:ascii="仿宋_GB2312" w:eastAsia="仿宋_GB2312" w:hAnsi="仿宋_GB2312" w:cs="仿宋_GB2312" w:hint="eastAsia"/>
          <w:b/>
          <w:bCs/>
          <w:highlight w:val="none"/>
          <w:lang w:val="en-US" w:eastAsia="zh-CN"/>
        </w:rPr>
        <w:t>3</w:t>
      </w:r>
      <w:r>
        <w:rPr>
          <w:rFonts w:ascii="Times New Roman" w:hAnsi="Times New Roman" w:hint="eastAsia"/>
          <w:b/>
          <w:bCs/>
          <w:highlight w:val="none"/>
          <w:lang w:val="en-US" w:eastAsia="zh-CN"/>
        </w:rPr>
        <w:t>：</w:t>
      </w:r>
      <w:r>
        <w:rPr>
          <w:rFonts w:ascii="Times New Roman" w:hAnsi="Times New Roman" w:hint="eastAsia"/>
          <w:highlight w:val="none"/>
        </w:rPr>
        <w:t>发生重大设备故障或发生较大范围内大面积停电等情形。</w:t>
      </w:r>
    </w:p>
    <w:p>
      <w:pPr>
        <w:pStyle w:val="NormalIndent"/>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640" w:firstLineChars="200"/>
        <w:textAlignment w:val="auto"/>
        <w:rPr>
          <w:rFonts w:ascii="Times New Roman" w:hAnsi="Times New Roman"/>
          <w:highlight w:val="none"/>
        </w:rPr>
      </w:pPr>
      <w:r>
        <w:rPr>
          <w:rFonts w:ascii="Times New Roman" w:hAnsi="Times New Roman" w:hint="eastAsia"/>
          <w:b/>
          <w:bCs/>
          <w:highlight w:val="none"/>
          <w:lang w:val="en-US" w:eastAsia="zh-CN"/>
        </w:rPr>
        <w:t>处置方式：</w:t>
      </w:r>
      <w:r>
        <w:rPr>
          <w:rFonts w:ascii="Times New Roman" w:hAnsi="Times New Roman" w:hint="eastAsia"/>
          <w:highlight w:val="none"/>
          <w:lang w:val="en-US" w:eastAsia="zh-CN"/>
        </w:rPr>
        <w:t>市场运营机构按照“安全第一、市场优先、公开透明”的原则处理事故和安排电力系统运行，必要时可以向区域市场运营机构报告，经区域市场运营机构综合研判，确定异常事件不影响其他省（区）现货连续结算试运行时，由网省两级市场运营机构实施市场熔断，市场运营机构发布市场熔断声明，并报告所在政府主管部门、监管机构和联席会议。</w:t>
      </w:r>
    </w:p>
    <w:p>
      <w:pPr>
        <w:pStyle w:val="NormalIndent"/>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640" w:firstLineChars="200"/>
        <w:textAlignment w:val="auto"/>
        <w:rPr>
          <w:rFonts w:ascii="Times New Roman" w:hAnsi="Times New Roman" w:hint="eastAsia"/>
          <w:highlight w:val="none"/>
          <w:lang w:eastAsia="zh-CN"/>
        </w:rPr>
      </w:pPr>
      <w:r>
        <w:rPr>
          <w:rFonts w:ascii="Times New Roman" w:hAnsi="Times New Roman" w:hint="eastAsia"/>
          <w:highlight w:val="none"/>
          <w:lang w:eastAsia="zh-CN"/>
        </w:rPr>
        <w:t>（</w:t>
      </w:r>
      <w:r>
        <w:rPr>
          <w:rFonts w:ascii="Times New Roman" w:hAnsi="Times New Roman" w:hint="eastAsia"/>
          <w:highlight w:val="none"/>
          <w:lang w:val="en-US" w:eastAsia="zh-CN"/>
        </w:rPr>
        <w:t>四</w:t>
      </w:r>
      <w:r>
        <w:rPr>
          <w:rFonts w:ascii="Times New Roman" w:hAnsi="Times New Roman" w:hint="eastAsia"/>
          <w:highlight w:val="none"/>
          <w:lang w:eastAsia="zh-CN"/>
        </w:rPr>
        <w:t>）不正当竞争风险。</w:t>
      </w:r>
    </w:p>
    <w:p>
      <w:pPr>
        <w:pStyle w:val="NormalIndent"/>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640" w:firstLineChars="200"/>
        <w:textAlignment w:val="auto"/>
        <w:rPr>
          <w:rFonts w:ascii="Times New Roman" w:hAnsi="Times New Roman" w:hint="eastAsia"/>
          <w:highlight w:val="none"/>
          <w:lang w:val="en-US" w:eastAsia="zh-CN"/>
        </w:rPr>
      </w:pPr>
      <w:r>
        <w:rPr>
          <w:rFonts w:ascii="Times New Roman" w:hAnsi="Times New Roman" w:hint="eastAsia"/>
          <w:b/>
          <w:bCs/>
          <w:highlight w:val="none"/>
          <w:lang w:val="en-US" w:eastAsia="zh-CN"/>
        </w:rPr>
        <w:t>场景</w:t>
      </w:r>
      <w:r>
        <w:rPr>
          <w:rFonts w:cs="仿宋_GB2312" w:hint="eastAsia"/>
          <w:b/>
          <w:bCs/>
          <w:highlight w:val="none"/>
          <w:lang w:val="en-US" w:eastAsia="zh-CN"/>
        </w:rPr>
        <w:t>4</w:t>
      </w:r>
      <w:r>
        <w:rPr>
          <w:rFonts w:ascii="Times New Roman" w:hAnsi="Times New Roman" w:hint="eastAsia"/>
          <w:b/>
          <w:bCs/>
          <w:highlight w:val="none"/>
          <w:lang w:val="en-US" w:eastAsia="zh-CN"/>
        </w:rPr>
        <w:t>：</w:t>
      </w:r>
      <w:r>
        <w:rPr>
          <w:rFonts w:ascii="Times New Roman" w:hAnsi="Times New Roman" w:hint="eastAsia"/>
          <w:highlight w:val="none"/>
          <w:lang w:val="en-US" w:eastAsia="zh-CN"/>
        </w:rPr>
        <w:t>经营主体出现串通操作市场的情况。</w:t>
      </w:r>
    </w:p>
    <w:p>
      <w:pPr>
        <w:pStyle w:val="NormalIndent"/>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640" w:firstLineChars="200"/>
        <w:textAlignment w:val="auto"/>
        <w:rPr>
          <w:rFonts w:ascii="仿宋_GB2312" w:eastAsia="仿宋_GB2312" w:hAnsi="仿宋_GB2312" w:cs="仿宋_GB2312" w:hint="default"/>
          <w:highlight w:val="none"/>
          <w:lang w:val="en-US" w:eastAsia="zh-CN"/>
        </w:rPr>
      </w:pPr>
      <w:r>
        <w:rPr>
          <w:rFonts w:ascii="Times New Roman" w:hAnsi="Times New Roman" w:hint="eastAsia"/>
          <w:b/>
          <w:bCs/>
          <w:highlight w:val="none"/>
          <w:lang w:val="en-US" w:eastAsia="zh-CN"/>
        </w:rPr>
        <w:t>处置方式：</w:t>
      </w:r>
      <w:r>
        <w:rPr>
          <w:rFonts w:ascii="Times New Roman" w:hAnsi="Times New Roman" w:hint="eastAsia"/>
          <w:b w:val="0"/>
          <w:bCs w:val="0"/>
          <w:highlight w:val="none"/>
          <w:lang w:val="en-US" w:eastAsia="zh-CN"/>
        </w:rPr>
        <w:t>电力交易机构</w:t>
      </w:r>
      <w:r>
        <w:rPr>
          <w:rFonts w:ascii="仿宋_GB2312" w:eastAsia="仿宋_GB2312" w:hAnsi="仿宋_GB2312" w:cs="仿宋_GB2312" w:hint="eastAsia"/>
          <w:highlight w:val="none"/>
          <w:lang w:val="en-US" w:eastAsia="zh-CN"/>
        </w:rPr>
        <w:t>发现可能存在串通操作市场的情况，及时报告</w:t>
      </w:r>
      <w:r>
        <w:rPr>
          <w:rFonts w:cs="仿宋_GB2312" w:hint="eastAsia"/>
          <w:highlight w:val="none"/>
          <w:lang w:val="en-US" w:eastAsia="zh-CN"/>
        </w:rPr>
        <w:t>政府主管部门、</w:t>
      </w:r>
      <w:r>
        <w:rPr>
          <w:rFonts w:ascii="仿宋_GB2312" w:eastAsia="仿宋_GB2312" w:hAnsi="仿宋_GB2312" w:cs="仿宋_GB2312" w:hint="eastAsia"/>
          <w:highlight w:val="none"/>
          <w:lang w:val="en-US" w:eastAsia="zh-CN"/>
        </w:rPr>
        <w:t>监管机构</w:t>
      </w:r>
      <w:r>
        <w:rPr>
          <w:rFonts w:cs="仿宋_GB2312" w:hint="eastAsia"/>
          <w:highlight w:val="none"/>
          <w:lang w:val="en-US" w:eastAsia="zh-CN"/>
        </w:rPr>
        <w:t>，根据政府主管部门、</w:t>
      </w:r>
      <w:r>
        <w:rPr>
          <w:rFonts w:ascii="仿宋_GB2312" w:eastAsia="仿宋_GB2312" w:hAnsi="仿宋_GB2312" w:cs="仿宋_GB2312" w:hint="eastAsia"/>
          <w:highlight w:val="none"/>
          <w:lang w:val="en-US" w:eastAsia="zh-CN"/>
        </w:rPr>
        <w:t>监管机构</w:t>
      </w:r>
      <w:r>
        <w:rPr>
          <w:rFonts w:cs="仿宋_GB2312" w:hint="eastAsia"/>
          <w:highlight w:val="none"/>
          <w:lang w:val="en-US" w:eastAsia="zh-CN"/>
        </w:rPr>
        <w:t>的意见，对经营主体</w:t>
      </w:r>
      <w:r>
        <w:rPr>
          <w:rFonts w:ascii="仿宋_GB2312" w:eastAsia="仿宋_GB2312" w:hAnsi="仿宋_GB2312" w:cs="仿宋_GB2312" w:hint="eastAsia"/>
          <w:highlight w:val="none"/>
          <w:lang w:val="en-US" w:eastAsia="zh-CN"/>
        </w:rPr>
        <w:t>采取沟通提醒、风险提示、</w:t>
      </w:r>
      <w:r>
        <w:rPr>
          <w:rFonts w:cs="仿宋_GB2312" w:hint="eastAsia"/>
          <w:highlight w:val="none"/>
          <w:lang w:val="en-US" w:eastAsia="zh-CN"/>
        </w:rPr>
        <w:t>暂停交易资格、强制退市等措施。</w:t>
      </w:r>
    </w:p>
    <w:p>
      <w:pPr>
        <w:pStyle w:val="NormalIndent"/>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640" w:firstLineChars="200"/>
        <w:textAlignment w:val="auto"/>
        <w:rPr>
          <w:rFonts w:ascii="Times New Roman" w:hAnsi="Times New Roman" w:hint="eastAsia"/>
          <w:highlight w:val="none"/>
          <w:lang w:eastAsia="zh-CN"/>
        </w:rPr>
      </w:pPr>
      <w:r>
        <w:rPr>
          <w:rFonts w:ascii="Times New Roman" w:hAnsi="Times New Roman" w:hint="eastAsia"/>
          <w:highlight w:val="none"/>
          <w:lang w:eastAsia="zh-CN"/>
        </w:rPr>
        <w:t>（</w:t>
      </w:r>
      <w:r>
        <w:rPr>
          <w:rFonts w:ascii="Times New Roman" w:hAnsi="Times New Roman" w:hint="eastAsia"/>
          <w:highlight w:val="none"/>
          <w:lang w:val="en-US" w:eastAsia="zh-CN"/>
        </w:rPr>
        <w:t>五</w:t>
      </w:r>
      <w:r>
        <w:rPr>
          <w:rFonts w:ascii="Times New Roman" w:hAnsi="Times New Roman" w:hint="eastAsia"/>
          <w:highlight w:val="none"/>
          <w:lang w:eastAsia="zh-CN"/>
        </w:rPr>
        <w:t>）</w:t>
      </w:r>
      <w:r>
        <w:rPr>
          <w:rFonts w:ascii="Times New Roman" w:hAnsi="Times New Roman" w:hint="eastAsia"/>
          <w:highlight w:val="none"/>
        </w:rPr>
        <w:t>技术支持系统</w:t>
      </w:r>
      <w:r>
        <w:rPr>
          <w:rFonts w:ascii="Times New Roman" w:hAnsi="Times New Roman" w:hint="eastAsia"/>
          <w:highlight w:val="none"/>
          <w:lang w:val="en-US" w:eastAsia="zh-CN"/>
        </w:rPr>
        <w:t>运行异常</w:t>
      </w:r>
      <w:r>
        <w:rPr>
          <w:rFonts w:ascii="Times New Roman" w:hAnsi="Times New Roman" w:hint="eastAsia"/>
          <w:highlight w:val="none"/>
        </w:rPr>
        <w:t>风险</w:t>
      </w:r>
      <w:r>
        <w:rPr>
          <w:rFonts w:ascii="Times New Roman" w:hAnsi="Times New Roman" w:hint="eastAsia"/>
          <w:highlight w:val="none"/>
          <w:lang w:eastAsia="zh-CN"/>
        </w:rPr>
        <w:t>。</w:t>
      </w:r>
    </w:p>
    <w:p>
      <w:pPr>
        <w:pStyle w:val="NormalIndent"/>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640" w:firstLineChars="200"/>
        <w:textAlignment w:val="auto"/>
        <w:rPr>
          <w:rFonts w:ascii="Times New Roman" w:hAnsi="Times New Roman"/>
          <w:highlight w:val="none"/>
        </w:rPr>
      </w:pPr>
      <w:r>
        <w:rPr>
          <w:rFonts w:ascii="Times New Roman" w:hAnsi="Times New Roman" w:hint="eastAsia"/>
          <w:b/>
          <w:bCs/>
          <w:highlight w:val="none"/>
          <w:lang w:val="en-US" w:eastAsia="zh-CN"/>
        </w:rPr>
        <w:t>场景</w:t>
      </w:r>
      <w:r>
        <w:rPr>
          <w:rFonts w:cs="仿宋_GB2312" w:hint="eastAsia"/>
          <w:b/>
          <w:bCs/>
          <w:highlight w:val="none"/>
          <w:lang w:val="en-US" w:eastAsia="zh-CN"/>
        </w:rPr>
        <w:t>5</w:t>
      </w:r>
      <w:r>
        <w:rPr>
          <w:rFonts w:ascii="Times New Roman" w:hAnsi="Times New Roman" w:hint="eastAsia"/>
          <w:b/>
          <w:bCs/>
          <w:highlight w:val="none"/>
          <w:lang w:val="en-US" w:eastAsia="zh-CN"/>
        </w:rPr>
        <w:t>：</w:t>
      </w:r>
      <w:r>
        <w:rPr>
          <w:rFonts w:ascii="Times New Roman" w:hAnsi="Times New Roman" w:hint="eastAsia"/>
          <w:highlight w:val="none"/>
          <w:lang w:val="en-US" w:eastAsia="zh-CN"/>
        </w:rPr>
        <w:t>如</w:t>
      </w:r>
      <w:r>
        <w:rPr>
          <w:rFonts w:ascii="Times New Roman" w:hAnsi="Times New Roman" w:hint="eastAsia"/>
          <w:highlight w:val="none"/>
        </w:rPr>
        <w:t>电力市场技术支持系统发生网络与信息安全事故事件，或因网络安全、软硬件设备等无法按照交易规则正常开展交易、市场出清。</w:t>
      </w:r>
    </w:p>
    <w:p>
      <w:pPr>
        <w:pStyle w:val="NormalIndent"/>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640" w:firstLineChars="200"/>
        <w:textAlignment w:val="auto"/>
        <w:rPr>
          <w:rFonts w:ascii="Times New Roman" w:hAnsi="Times New Roman" w:hint="eastAsia"/>
          <w:b/>
          <w:bCs/>
          <w:highlight w:val="none"/>
          <w:lang w:val="en-US" w:eastAsia="zh-CN"/>
        </w:rPr>
      </w:pPr>
      <w:r>
        <w:rPr>
          <w:rFonts w:ascii="Times New Roman" w:hAnsi="Times New Roman" w:hint="eastAsia"/>
          <w:b/>
          <w:bCs/>
          <w:highlight w:val="none"/>
          <w:lang w:val="en-US" w:eastAsia="zh-CN"/>
        </w:rPr>
        <w:t>处置方式：</w:t>
      </w:r>
    </w:p>
    <w:p>
      <w:pPr>
        <w:pStyle w:val="NormalIndent"/>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640" w:firstLineChars="200"/>
        <w:textAlignment w:val="auto"/>
        <w:rPr>
          <w:rFonts w:ascii="仿宋_GB2312" w:eastAsia="仿宋_GB2312" w:hAnsi="仿宋_GB2312" w:cs="仿宋_GB2312" w:hint="eastAsia"/>
          <w:b w:val="0"/>
          <w:bCs w:val="0"/>
          <w:highlight w:val="none"/>
          <w:lang w:val="en-US" w:eastAsia="zh-CN"/>
        </w:rPr>
      </w:pPr>
      <w:r>
        <w:rPr>
          <w:rFonts w:ascii="仿宋_GB2312" w:eastAsia="仿宋_GB2312" w:hAnsi="仿宋_GB2312" w:cs="仿宋_GB2312" w:hint="eastAsia"/>
          <w:b w:val="0"/>
          <w:bCs w:val="0"/>
          <w:highlight w:val="none"/>
          <w:lang w:val="en-US" w:eastAsia="zh-CN"/>
        </w:rPr>
        <w:t>1.集中竞价阶段出现结果错误：</w:t>
      </w:r>
    </w:p>
    <w:p>
      <w:pPr>
        <w:pStyle w:val="NormalIndent"/>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640" w:firstLineChars="200"/>
        <w:textAlignment w:val="auto"/>
        <w:rPr>
          <w:rFonts w:ascii="仿宋_GB2312" w:eastAsia="仿宋_GB2312" w:hAnsi="仿宋_GB2312" w:cs="仿宋_GB2312" w:hint="eastAsia"/>
          <w:b w:val="0"/>
          <w:bCs w:val="0"/>
          <w:highlight w:val="none"/>
          <w:lang w:val="en-US" w:eastAsia="zh-CN"/>
        </w:rPr>
      </w:pPr>
      <w:r>
        <w:rPr>
          <w:rFonts w:ascii="仿宋_GB2312" w:eastAsia="仿宋_GB2312" w:hAnsi="仿宋_GB2312" w:cs="仿宋_GB2312" w:hint="eastAsia"/>
          <w:b w:val="0"/>
          <w:bCs w:val="0"/>
          <w:highlight w:val="none"/>
          <w:lang w:val="en-US" w:eastAsia="zh-CN"/>
        </w:rPr>
        <w:t>（1）</w:t>
      </w:r>
      <w:r>
        <w:rPr>
          <w:rFonts w:cs="仿宋_GB2312" w:hint="eastAsia"/>
          <w:b w:val="0"/>
          <w:bCs w:val="0"/>
          <w:highlight w:val="none"/>
          <w:lang w:val="en-US" w:eastAsia="zh-CN"/>
        </w:rPr>
        <w:t>电力交易机构</w:t>
      </w:r>
      <w:r>
        <w:rPr>
          <w:rFonts w:ascii="仿宋_GB2312" w:eastAsia="仿宋_GB2312" w:hAnsi="仿宋_GB2312" w:cs="仿宋_GB2312" w:hint="eastAsia"/>
          <w:b w:val="0"/>
          <w:bCs w:val="0"/>
          <w:highlight w:val="none"/>
          <w:lang w:val="en-US" w:eastAsia="zh-CN"/>
        </w:rPr>
        <w:t>判断出清结果错误是否会影响后续整个连续竞价交易，如果对后续交易影响较大，则取消本次交易；</w:t>
      </w:r>
    </w:p>
    <w:p>
      <w:pPr>
        <w:pStyle w:val="NormalIndent"/>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640" w:firstLineChars="200"/>
        <w:textAlignment w:val="auto"/>
        <w:rPr>
          <w:rFonts w:ascii="仿宋_GB2312" w:eastAsia="仿宋_GB2312" w:hAnsi="仿宋_GB2312" w:cs="仿宋_GB2312" w:hint="eastAsia"/>
          <w:b w:val="0"/>
          <w:bCs w:val="0"/>
          <w:highlight w:val="none"/>
          <w:lang w:val="en-US" w:eastAsia="zh-CN"/>
        </w:rPr>
      </w:pPr>
      <w:r>
        <w:rPr>
          <w:rFonts w:ascii="仿宋_GB2312" w:eastAsia="仿宋_GB2312" w:hAnsi="仿宋_GB2312" w:cs="仿宋_GB2312" w:hint="eastAsia"/>
          <w:b w:val="0"/>
          <w:bCs w:val="0"/>
          <w:highlight w:val="none"/>
          <w:lang w:val="en-US" w:eastAsia="zh-CN"/>
        </w:rPr>
        <w:t>（2）如果对后续交易影响有限，则推迟集中竞价交易开始时间，并处理缺陷</w:t>
      </w:r>
      <w:r>
        <w:rPr>
          <w:rFonts w:cs="仿宋_GB2312" w:hint="eastAsia"/>
          <w:b w:val="0"/>
          <w:bCs w:val="0"/>
          <w:highlight w:val="none"/>
          <w:lang w:val="en-US" w:eastAsia="zh-CN"/>
        </w:rPr>
        <w:t>。</w:t>
      </w:r>
    </w:p>
    <w:p>
      <w:pPr>
        <w:pStyle w:val="NormalIndent"/>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640" w:firstLineChars="200"/>
        <w:textAlignment w:val="auto"/>
        <w:rPr>
          <w:rFonts w:ascii="仿宋_GB2312" w:eastAsia="仿宋_GB2312" w:hAnsi="仿宋_GB2312" w:cs="仿宋_GB2312" w:hint="eastAsia"/>
          <w:b w:val="0"/>
          <w:bCs w:val="0"/>
          <w:highlight w:val="none"/>
          <w:lang w:val="en-US" w:eastAsia="zh-CN"/>
        </w:rPr>
      </w:pPr>
      <w:r>
        <w:rPr>
          <w:rFonts w:ascii="仿宋_GB2312" w:eastAsia="仿宋_GB2312" w:hAnsi="仿宋_GB2312" w:cs="仿宋_GB2312" w:hint="eastAsia"/>
          <w:b w:val="0"/>
          <w:bCs w:val="0"/>
          <w:highlight w:val="none"/>
          <w:lang w:val="en-US" w:eastAsia="zh-CN"/>
        </w:rPr>
        <w:t>2.滚动撮合阶段出现错误：</w:t>
      </w:r>
    </w:p>
    <w:p>
      <w:pPr>
        <w:pStyle w:val="NormalIndent"/>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640" w:firstLineChars="200"/>
        <w:textAlignment w:val="auto"/>
        <w:rPr>
          <w:rFonts w:ascii="仿宋_GB2312" w:eastAsia="仿宋_GB2312" w:hAnsi="仿宋_GB2312" w:cs="仿宋_GB2312" w:hint="eastAsia"/>
          <w:b w:val="0"/>
          <w:bCs w:val="0"/>
          <w:highlight w:val="none"/>
          <w:lang w:val="en-US" w:eastAsia="zh-CN"/>
        </w:rPr>
      </w:pPr>
      <w:r>
        <w:rPr>
          <w:rFonts w:ascii="仿宋_GB2312" w:eastAsia="仿宋_GB2312" w:hAnsi="仿宋_GB2312" w:cs="仿宋_GB2312" w:hint="eastAsia"/>
          <w:b w:val="0"/>
          <w:bCs w:val="0"/>
          <w:highlight w:val="none"/>
          <w:lang w:val="en-US" w:eastAsia="zh-CN"/>
        </w:rPr>
        <w:t>（1）交易中出现错误则暂停交易，</w:t>
      </w:r>
      <w:r>
        <w:rPr>
          <w:rFonts w:cs="仿宋_GB2312" w:hint="eastAsia"/>
          <w:b w:val="0"/>
          <w:bCs w:val="0"/>
          <w:highlight w:val="none"/>
          <w:lang w:val="en-US" w:eastAsia="zh-CN"/>
        </w:rPr>
        <w:t>电力交易机构</w:t>
      </w:r>
      <w:r>
        <w:rPr>
          <w:rFonts w:ascii="仿宋_GB2312" w:eastAsia="仿宋_GB2312" w:hAnsi="仿宋_GB2312" w:cs="仿宋_GB2312" w:hint="eastAsia"/>
          <w:b w:val="0"/>
          <w:bCs w:val="0"/>
          <w:highlight w:val="none"/>
          <w:lang w:val="en-US" w:eastAsia="zh-CN"/>
        </w:rPr>
        <w:t>组织人员分析错误原因并提出修改意见，完成修改后组织</w:t>
      </w:r>
      <w:r>
        <w:rPr>
          <w:rFonts w:cs="仿宋_GB2312" w:hint="eastAsia"/>
          <w:b w:val="0"/>
          <w:bCs w:val="0"/>
          <w:highlight w:val="none"/>
          <w:lang w:val="en-US" w:eastAsia="zh-CN"/>
        </w:rPr>
        <w:t>经营主体</w:t>
      </w:r>
      <w:r>
        <w:rPr>
          <w:rFonts w:ascii="仿宋_GB2312" w:eastAsia="仿宋_GB2312" w:hAnsi="仿宋_GB2312" w:cs="仿宋_GB2312" w:hint="eastAsia"/>
          <w:b w:val="0"/>
          <w:bCs w:val="0"/>
          <w:highlight w:val="none"/>
          <w:lang w:val="en-US" w:eastAsia="zh-CN"/>
        </w:rPr>
        <w:t>进行公开测试直至算法正确，而后在交易平台发布交易公告，组织</w:t>
      </w:r>
      <w:r>
        <w:rPr>
          <w:rFonts w:cs="仿宋_GB2312" w:hint="eastAsia"/>
          <w:b w:val="0"/>
          <w:bCs w:val="0"/>
          <w:highlight w:val="none"/>
          <w:lang w:val="en-US" w:eastAsia="zh-CN"/>
        </w:rPr>
        <w:t>经营</w:t>
      </w:r>
      <w:r>
        <w:rPr>
          <w:rFonts w:ascii="仿宋_GB2312" w:eastAsia="仿宋_GB2312" w:hAnsi="仿宋_GB2312" w:cs="仿宋_GB2312" w:hint="eastAsia"/>
          <w:b w:val="0"/>
          <w:bCs w:val="0"/>
          <w:highlight w:val="none"/>
          <w:lang w:val="en-US" w:eastAsia="zh-CN"/>
        </w:rPr>
        <w:t>主体重新交易，错误之前的交易结果作废；</w:t>
      </w:r>
    </w:p>
    <w:p>
      <w:pPr>
        <w:pStyle w:val="NormalIndent"/>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640" w:firstLineChars="200"/>
        <w:textAlignment w:val="auto"/>
        <w:rPr>
          <w:rFonts w:ascii="仿宋_GB2312" w:eastAsia="仿宋_GB2312" w:hAnsi="仿宋_GB2312" w:cs="仿宋_GB2312" w:hint="eastAsia"/>
          <w:b w:val="0"/>
          <w:bCs w:val="0"/>
          <w:highlight w:val="none"/>
          <w:lang w:val="en-US" w:eastAsia="zh-CN"/>
        </w:rPr>
      </w:pPr>
      <w:r>
        <w:rPr>
          <w:rFonts w:ascii="仿宋_GB2312" w:eastAsia="仿宋_GB2312" w:hAnsi="仿宋_GB2312" w:cs="仿宋_GB2312" w:hint="eastAsia"/>
          <w:b w:val="0"/>
          <w:bCs w:val="0"/>
          <w:highlight w:val="none"/>
          <w:lang w:val="en-US" w:eastAsia="zh-CN"/>
        </w:rPr>
        <w:t>（2）交易结束后在进行结果校核（人工校核或系统校核）时发现错误，首先评估影响范围，如果</w:t>
      </w:r>
      <w:r>
        <w:rPr>
          <w:rFonts w:cs="仿宋_GB2312" w:hint="eastAsia"/>
          <w:b w:val="0"/>
          <w:bCs w:val="0"/>
          <w:highlight w:val="none"/>
          <w:lang w:val="en-US" w:eastAsia="zh-CN"/>
        </w:rPr>
        <w:t>仅</w:t>
      </w:r>
      <w:r>
        <w:rPr>
          <w:rFonts w:ascii="仿宋_GB2312" w:eastAsia="仿宋_GB2312" w:hAnsi="仿宋_GB2312" w:cs="仿宋_GB2312" w:hint="eastAsia"/>
          <w:b w:val="0"/>
          <w:bCs w:val="0"/>
          <w:highlight w:val="none"/>
          <w:lang w:val="en-US" w:eastAsia="zh-CN"/>
        </w:rPr>
        <w:t>影响单笔成交结果，不影响后续成交结果，则修正单笔交易结果</w:t>
      </w:r>
      <w:r>
        <w:rPr>
          <w:rFonts w:cs="仿宋_GB2312" w:hint="eastAsia"/>
          <w:b w:val="0"/>
          <w:bCs w:val="0"/>
          <w:highlight w:val="none"/>
          <w:lang w:val="en-US" w:eastAsia="zh-CN"/>
        </w:rPr>
        <w:t>，</w:t>
      </w:r>
      <w:r>
        <w:rPr>
          <w:rFonts w:ascii="仿宋_GB2312" w:eastAsia="仿宋_GB2312" w:hAnsi="仿宋_GB2312" w:cs="仿宋_GB2312" w:hint="eastAsia"/>
          <w:b w:val="0"/>
          <w:bCs w:val="0"/>
          <w:highlight w:val="none"/>
          <w:lang w:val="en-US" w:eastAsia="zh-CN"/>
        </w:rPr>
        <w:t>否则本场交易结果作废，</w:t>
      </w:r>
      <w:r>
        <w:rPr>
          <w:rFonts w:cs="仿宋_GB2312" w:hint="eastAsia"/>
          <w:b w:val="0"/>
          <w:bCs w:val="0"/>
          <w:highlight w:val="none"/>
          <w:lang w:val="en-US" w:eastAsia="zh-CN"/>
        </w:rPr>
        <w:t>电力交易机构</w:t>
      </w:r>
      <w:r>
        <w:rPr>
          <w:rFonts w:ascii="仿宋_GB2312" w:eastAsia="仿宋_GB2312" w:hAnsi="仿宋_GB2312" w:cs="仿宋_GB2312" w:hint="eastAsia"/>
          <w:b w:val="0"/>
          <w:bCs w:val="0"/>
          <w:highlight w:val="none"/>
          <w:lang w:val="en-US" w:eastAsia="zh-CN"/>
        </w:rPr>
        <w:t>组织人员分析错误原因并提出修改意见，完成修改后组织</w:t>
      </w:r>
      <w:r>
        <w:rPr>
          <w:rFonts w:cs="仿宋_GB2312" w:hint="eastAsia"/>
          <w:b w:val="0"/>
          <w:bCs w:val="0"/>
          <w:highlight w:val="none"/>
          <w:lang w:val="en-US" w:eastAsia="zh-CN"/>
        </w:rPr>
        <w:t>经营</w:t>
      </w:r>
      <w:r>
        <w:rPr>
          <w:rFonts w:ascii="仿宋_GB2312" w:eastAsia="仿宋_GB2312" w:hAnsi="仿宋_GB2312" w:cs="仿宋_GB2312" w:hint="eastAsia"/>
          <w:b w:val="0"/>
          <w:bCs w:val="0"/>
          <w:highlight w:val="none"/>
          <w:lang w:val="en-US" w:eastAsia="zh-CN"/>
        </w:rPr>
        <w:t>主体进行公开测试直至算法正确，而后在交易平台发布交易公告，组织</w:t>
      </w:r>
      <w:r>
        <w:rPr>
          <w:rFonts w:cs="仿宋_GB2312" w:hint="eastAsia"/>
          <w:b w:val="0"/>
          <w:bCs w:val="0"/>
          <w:highlight w:val="none"/>
          <w:lang w:val="en-US" w:eastAsia="zh-CN"/>
        </w:rPr>
        <w:t>经营</w:t>
      </w:r>
      <w:r>
        <w:rPr>
          <w:rFonts w:ascii="仿宋_GB2312" w:eastAsia="仿宋_GB2312" w:hAnsi="仿宋_GB2312" w:cs="仿宋_GB2312" w:hint="eastAsia"/>
          <w:b w:val="0"/>
          <w:bCs w:val="0"/>
          <w:highlight w:val="none"/>
          <w:lang w:val="en-US" w:eastAsia="zh-CN"/>
        </w:rPr>
        <w:t>主体重新交易。</w:t>
      </w:r>
    </w:p>
    <w:p>
      <w:pPr>
        <w:pStyle w:val="NormalIndent"/>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640" w:firstLineChars="200"/>
        <w:textAlignment w:val="auto"/>
        <w:rPr>
          <w:rFonts w:ascii="Times New Roman" w:hAnsi="Times New Roman" w:hint="default"/>
          <w:highlight w:val="none"/>
          <w:lang w:val="en-US"/>
        </w:rPr>
      </w:pPr>
      <w:r>
        <w:rPr>
          <w:rFonts w:ascii="仿宋_GB2312" w:eastAsia="仿宋_GB2312" w:hAnsi="仿宋_GB2312" w:cs="仿宋_GB2312" w:hint="eastAsia"/>
          <w:b w:val="0"/>
          <w:bCs w:val="0"/>
          <w:highlight w:val="none"/>
          <w:lang w:val="en-US" w:eastAsia="zh-CN"/>
        </w:rPr>
        <w:t>以上处置过程</w:t>
      </w:r>
      <w:r>
        <w:rPr>
          <w:rFonts w:cs="仿宋_GB2312" w:hint="eastAsia"/>
          <w:b w:val="0"/>
          <w:bCs w:val="0"/>
          <w:highlight w:val="none"/>
          <w:lang w:val="en-US" w:eastAsia="zh-CN"/>
        </w:rPr>
        <w:t>均应</w:t>
      </w:r>
      <w:r>
        <w:rPr>
          <w:rFonts w:ascii="仿宋_GB2312" w:eastAsia="仿宋_GB2312" w:hAnsi="仿宋_GB2312" w:cs="仿宋_GB2312" w:hint="eastAsia"/>
          <w:b w:val="0"/>
          <w:bCs w:val="0"/>
          <w:highlight w:val="none"/>
          <w:lang w:val="en-US" w:eastAsia="zh-CN"/>
        </w:rPr>
        <w:t>做好记录和材料存档。</w:t>
      </w:r>
    </w:p>
    <w:p>
      <w:pPr>
        <w:pStyle w:val="NormalIndent"/>
        <w:keepNext w:val="0"/>
        <w:keepLines w:val="0"/>
        <w:pageBreakBefore w:val="0"/>
        <w:widowControl w:val="0"/>
        <w:numPr>
          <w:ilvl w:val="0"/>
          <w:numId w:val="0"/>
        </w:numPr>
        <w:kinsoku/>
        <w:wordWrap/>
        <w:overflowPunct/>
        <w:topLinePunct w:val="0"/>
        <w:autoSpaceDE/>
        <w:autoSpaceDN/>
        <w:bidi w:val="0"/>
        <w:adjustRightInd/>
        <w:snapToGrid/>
        <w:spacing w:beforeLines="0" w:afterLines="0"/>
        <w:ind w:left="0" w:leftChars="0"/>
        <w:textAlignment w:val="auto"/>
        <w:rPr>
          <w:rFonts w:cs="仿宋_GB2312" w:hint="eastAsia"/>
          <w:b w:val="0"/>
          <w:bCs w:val="0"/>
          <w:highlight w:val="none"/>
          <w:lang w:val="en-US" w:eastAsia="zh-CN"/>
        </w:rPr>
      </w:pPr>
      <w:r>
        <w:rPr>
          <w:rFonts w:cs="仿宋_GB2312" w:hint="eastAsia"/>
          <w:b w:val="0"/>
          <w:bCs w:val="0"/>
          <w:highlight w:val="none"/>
          <w:lang w:val="en-US" w:eastAsia="zh-CN"/>
        </w:rPr>
        <w:t>（六）</w:t>
      </w:r>
      <w:r>
        <w:rPr>
          <w:rFonts w:ascii="Times New Roman" w:hAnsi="Times New Roman" w:hint="eastAsia"/>
          <w:highlight w:val="none"/>
        </w:rPr>
        <w:t>合同违约风险</w:t>
      </w:r>
      <w:r>
        <w:rPr>
          <w:rFonts w:cs="仿宋_GB2312" w:hint="eastAsia"/>
          <w:b w:val="0"/>
          <w:bCs w:val="0"/>
          <w:highlight w:val="none"/>
          <w:lang w:val="en-US" w:eastAsia="zh-CN"/>
        </w:rPr>
        <w:t>。</w:t>
      </w:r>
    </w:p>
    <w:p>
      <w:pPr>
        <w:pStyle w:val="NormalIndent"/>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640" w:firstLineChars="200"/>
        <w:textAlignment w:val="auto"/>
        <w:rPr>
          <w:rFonts w:ascii="Times New Roman" w:hAnsi="Times New Roman"/>
          <w:highlight w:val="none"/>
        </w:rPr>
      </w:pPr>
      <w:r>
        <w:rPr>
          <w:rFonts w:cs="仿宋_GB2312" w:hint="eastAsia"/>
          <w:b/>
          <w:bCs/>
          <w:highlight w:val="none"/>
          <w:lang w:val="en-US" w:eastAsia="zh-CN"/>
        </w:rPr>
        <w:t>场景6：</w:t>
      </w:r>
      <w:r>
        <w:rPr>
          <w:rFonts w:cs="仿宋_GB2312" w:hint="eastAsia"/>
          <w:b w:val="0"/>
          <w:bCs w:val="0"/>
          <w:highlight w:val="none"/>
          <w:lang w:val="en-US" w:eastAsia="zh-CN"/>
        </w:rPr>
        <w:t>售电公司批零亏损金额超过其有效履约凭证额度，且无力足额支付电网企业相关结算费用，继续执行签订的批发、零售合同存在困难</w:t>
      </w:r>
      <w:r>
        <w:rPr>
          <w:rFonts w:ascii="Times New Roman" w:hAnsi="Times New Roman" w:hint="eastAsia"/>
          <w:highlight w:val="none"/>
        </w:rPr>
        <w:t>。</w:t>
      </w:r>
    </w:p>
    <w:p>
      <w:pPr>
        <w:pStyle w:val="NormalIndent"/>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640" w:firstLineChars="200"/>
        <w:textAlignment w:val="auto"/>
        <w:rPr>
          <w:rFonts w:ascii="Times New Roman" w:hAnsi="Times New Roman"/>
          <w:highlight w:val="none"/>
        </w:rPr>
      </w:pPr>
      <w:r>
        <w:rPr>
          <w:rFonts w:ascii="Times New Roman" w:hAnsi="Times New Roman" w:hint="eastAsia"/>
          <w:b/>
          <w:bCs/>
          <w:highlight w:val="none"/>
          <w:lang w:val="en-US" w:eastAsia="zh-CN"/>
        </w:rPr>
        <w:t>处置方式：</w:t>
      </w:r>
      <w:r>
        <w:rPr>
          <w:rFonts w:cs="仿宋_GB2312" w:hint="eastAsia"/>
          <w:b w:val="0"/>
          <w:bCs w:val="0"/>
          <w:highlight w:val="none"/>
          <w:lang w:val="en-US" w:eastAsia="zh-CN"/>
        </w:rPr>
        <w:t>电力交易机构会同电网企业核实情况，开展履约保函（保险）偿付工作及后续处置工作，同时报告政府主管部门、监管机构，经同意启动保底售电。</w:t>
      </w:r>
    </w:p>
    <w:p>
      <w:pPr>
        <w:pStyle w:val="NormalIndent"/>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640" w:firstLineChars="200"/>
        <w:textAlignment w:val="auto"/>
        <w:rPr>
          <w:rFonts w:cs="仿宋_GB2312" w:hint="eastAsia"/>
          <w:b w:val="0"/>
          <w:bCs w:val="0"/>
          <w:highlight w:val="none"/>
          <w:lang w:val="en-US" w:eastAsia="zh-CN"/>
        </w:rPr>
      </w:pPr>
      <w:r>
        <w:rPr>
          <w:rFonts w:cs="仿宋_GB2312" w:hint="eastAsia"/>
          <w:b w:val="0"/>
          <w:bCs w:val="0"/>
          <w:highlight w:val="none"/>
          <w:lang w:val="en-US" w:eastAsia="zh-CN"/>
        </w:rPr>
        <w:t>（七）其他市场风险。</w:t>
      </w:r>
    </w:p>
    <w:p>
      <w:pPr>
        <w:pStyle w:val="NormalIndent"/>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640" w:firstLineChars="200"/>
        <w:textAlignment w:val="auto"/>
        <w:rPr>
          <w:rFonts w:cs="仿宋_GB2312" w:hint="eastAsia"/>
          <w:b w:val="0"/>
          <w:bCs w:val="0"/>
          <w:highlight w:val="none"/>
          <w:lang w:val="en-US" w:eastAsia="zh-CN"/>
        </w:rPr>
      </w:pPr>
      <w:r>
        <w:rPr>
          <w:rFonts w:cs="仿宋_GB2312" w:hint="eastAsia"/>
          <w:b/>
          <w:bCs/>
          <w:highlight w:val="none"/>
          <w:lang w:val="en-US" w:eastAsia="zh-CN"/>
        </w:rPr>
        <w:t>场景7</w:t>
      </w:r>
      <w:r>
        <w:rPr>
          <w:rFonts w:cs="仿宋_GB2312" w:hint="eastAsia"/>
          <w:b w:val="0"/>
          <w:bCs w:val="0"/>
          <w:highlight w:val="none"/>
          <w:lang w:val="en-US" w:eastAsia="zh-CN"/>
        </w:rPr>
        <w:t>：市场运营机构从业人员或运维人员业务交易参数配置不正确。</w:t>
      </w:r>
    </w:p>
    <w:p>
      <w:pPr>
        <w:pStyle w:val="BodyText"/>
        <w:keepNext w:val="0"/>
        <w:keepLines w:val="0"/>
        <w:pageBreakBefore w:val="0"/>
        <w:numPr>
          <w:ilvl w:val="255"/>
          <w:numId w:val="0"/>
        </w:numPr>
        <w:kinsoku/>
        <w:wordWrap/>
        <w:overflowPunct/>
        <w:topLinePunct w:val="0"/>
        <w:autoSpaceDE/>
        <w:autoSpaceDN/>
        <w:bidi w:val="0"/>
        <w:adjustRightInd/>
        <w:snapToGrid/>
        <w:spacing w:beforeLines="0" w:after="0" w:afterLines="0" w:line="560" w:lineRule="exact"/>
        <w:ind w:firstLine="640" w:firstLineChars="200"/>
        <w:jc w:val="both"/>
        <w:textAlignment w:val="auto"/>
        <w:rPr>
          <w:rFonts w:ascii="仿宋_GB2312" w:eastAsia="仿宋_GB2312" w:hAnsi="仿宋_GB2312" w:cs="仿宋_GB2312" w:hint="eastAsia"/>
          <w:b/>
          <w:bCs/>
          <w:kern w:val="2"/>
          <w:sz w:val="32"/>
          <w:szCs w:val="32"/>
          <w:highlight w:val="none"/>
          <w:lang w:val="en-US" w:eastAsia="zh-CN" w:bidi="ar-SA"/>
        </w:rPr>
      </w:pPr>
      <w:r>
        <w:rPr>
          <w:rFonts w:ascii="仿宋_GB2312" w:eastAsia="仿宋_GB2312" w:hAnsi="仿宋_GB2312" w:cs="仿宋_GB2312" w:hint="eastAsia"/>
          <w:b/>
          <w:bCs/>
          <w:kern w:val="2"/>
          <w:sz w:val="32"/>
          <w:szCs w:val="32"/>
          <w:highlight w:val="none"/>
          <w:lang w:val="en-US" w:eastAsia="zh-CN" w:bidi="ar-SA"/>
        </w:rPr>
        <w:t>处置方式：</w:t>
      </w:r>
    </w:p>
    <w:p>
      <w:pPr>
        <w:pStyle w:val="BodyText"/>
        <w:keepNext w:val="0"/>
        <w:keepLines w:val="0"/>
        <w:pageBreakBefore w:val="0"/>
        <w:numPr>
          <w:ilvl w:val="255"/>
          <w:numId w:val="0"/>
        </w:numPr>
        <w:kinsoku/>
        <w:wordWrap/>
        <w:overflowPunct/>
        <w:topLinePunct w:val="0"/>
        <w:autoSpaceDE/>
        <w:autoSpaceDN/>
        <w:bidi w:val="0"/>
        <w:adjustRightInd/>
        <w:snapToGrid/>
        <w:spacing w:beforeLines="0" w:after="0" w:afterLines="0" w:line="560" w:lineRule="exact"/>
        <w:ind w:firstLine="640" w:firstLineChars="200"/>
        <w:jc w:val="both"/>
        <w:textAlignment w:val="auto"/>
        <w:rPr>
          <w:rFonts w:ascii="仿宋_GB2312" w:eastAsia="仿宋_GB2312" w:hAnsi="仿宋_GB2312" w:cs="仿宋_GB2312" w:hint="eastAsia"/>
          <w:b w:val="0"/>
          <w:bCs w:val="0"/>
          <w:kern w:val="2"/>
          <w:sz w:val="32"/>
          <w:szCs w:val="32"/>
          <w:highlight w:val="none"/>
          <w:lang w:val="en-US" w:eastAsia="zh-CN" w:bidi="ar-SA"/>
        </w:rPr>
      </w:pPr>
      <w:r>
        <w:rPr>
          <w:rFonts w:ascii="仿宋_GB2312" w:eastAsia="仿宋_GB2312" w:hAnsi="仿宋_GB2312" w:cs="仿宋_GB2312" w:hint="eastAsia"/>
          <w:b w:val="0"/>
          <w:bCs w:val="0"/>
          <w:kern w:val="2"/>
          <w:sz w:val="32"/>
          <w:szCs w:val="32"/>
          <w:highlight w:val="none"/>
          <w:lang w:val="en-US" w:eastAsia="zh-CN" w:bidi="ar-SA"/>
        </w:rPr>
        <w:t>1.中长期交易参数配置有误：电力交易机构与电力调度机构核实数据，确有误时，由电力调度机构提供正确的交易参数，电力交易机构安排录入，经经营主体确认无误后完成修改。</w:t>
      </w:r>
    </w:p>
    <w:p>
      <w:pPr>
        <w:pStyle w:val="NormalIndent"/>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640" w:firstLineChars="200"/>
        <w:textAlignment w:val="auto"/>
        <w:rPr>
          <w:rFonts w:ascii="仿宋_GB2312" w:eastAsia="仿宋_GB2312" w:hAnsi="仿宋_GB2312" w:cs="仿宋_GB2312" w:hint="default"/>
          <w:b w:val="0"/>
          <w:bCs w:val="0"/>
          <w:kern w:val="2"/>
          <w:sz w:val="32"/>
          <w:szCs w:val="32"/>
          <w:highlight w:val="none"/>
          <w:lang w:val="en-US" w:eastAsia="zh-CN" w:bidi="ar-SA"/>
        </w:rPr>
      </w:pPr>
      <w:r>
        <w:rPr>
          <w:rFonts w:ascii="仿宋_GB2312" w:eastAsia="仿宋_GB2312" w:hAnsi="仿宋_GB2312" w:cs="仿宋_GB2312" w:hint="eastAsia"/>
          <w:b w:val="0"/>
          <w:bCs w:val="0"/>
          <w:kern w:val="2"/>
          <w:sz w:val="32"/>
          <w:szCs w:val="32"/>
          <w:highlight w:val="none"/>
          <w:lang w:val="en-US" w:eastAsia="zh-CN" w:bidi="ar-SA"/>
        </w:rPr>
        <w:t>2.现货交易参数配置有误：电力交易机构与电力调度机构核实数据，确有误时，由电力调度机构向</w:t>
      </w:r>
      <w:r>
        <w:rPr>
          <w:rFonts w:cs="仿宋_GB2312" w:hint="eastAsia"/>
          <w:b w:val="0"/>
          <w:bCs w:val="0"/>
          <w:kern w:val="2"/>
          <w:sz w:val="32"/>
          <w:szCs w:val="32"/>
          <w:highlight w:val="none"/>
          <w:lang w:val="en-US" w:eastAsia="zh-CN" w:bidi="ar-SA"/>
        </w:rPr>
        <w:t>区域市场运营机构</w:t>
      </w:r>
      <w:r>
        <w:rPr>
          <w:rFonts w:ascii="仿宋_GB2312" w:eastAsia="仿宋_GB2312" w:hAnsi="仿宋_GB2312" w:cs="仿宋_GB2312" w:hint="eastAsia"/>
          <w:b w:val="0"/>
          <w:bCs w:val="0"/>
          <w:kern w:val="2"/>
          <w:sz w:val="32"/>
          <w:szCs w:val="32"/>
          <w:highlight w:val="none"/>
          <w:lang w:val="en-US" w:eastAsia="zh-CN" w:bidi="ar-SA"/>
        </w:rPr>
        <w:t>报告，同时电力交易机构向广州交易中心现货区域系统值班人员报告，安排专人跟踪处理进度直至交易参数修正。</w:t>
      </w:r>
    </w:p>
    <w:p>
      <w:pPr>
        <w:pStyle w:val="NormalIndent"/>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640" w:firstLineChars="200"/>
        <w:textAlignment w:val="auto"/>
        <w:rPr>
          <w:rFonts w:ascii="Times New Roman" w:hAnsi="Times New Roman" w:hint="eastAsia"/>
          <w:highlight w:val="none"/>
          <w:lang w:val="en-US" w:eastAsia="zh-CN"/>
        </w:rPr>
      </w:pPr>
      <w:r>
        <w:rPr>
          <w:rFonts w:ascii="Times New Roman" w:hAnsi="Times New Roman" w:hint="eastAsia"/>
          <w:b/>
          <w:bCs/>
          <w:highlight w:val="none"/>
          <w:lang w:val="en-US" w:eastAsia="zh-CN"/>
        </w:rPr>
        <w:t>场景</w:t>
      </w:r>
      <w:r>
        <w:rPr>
          <w:rFonts w:cs="仿宋_GB2312" w:hint="eastAsia"/>
          <w:b/>
          <w:bCs/>
          <w:highlight w:val="none"/>
          <w:lang w:val="en-US" w:eastAsia="zh-CN"/>
        </w:rPr>
        <w:t>8</w:t>
      </w:r>
      <w:r>
        <w:rPr>
          <w:rFonts w:ascii="Times New Roman" w:hAnsi="Times New Roman" w:hint="eastAsia"/>
          <w:highlight w:val="none"/>
          <w:lang w:val="en-US" w:eastAsia="zh-CN"/>
        </w:rPr>
        <w:t>：服务热线咨询量过大，导致经营主体无法得到有效咨询，从而产生舆情。</w:t>
      </w:r>
    </w:p>
    <w:p>
      <w:pPr>
        <w:pStyle w:val="NormalIndent"/>
        <w:keepNext w:val="0"/>
        <w:keepLines w:val="0"/>
        <w:pageBreakBefore w:val="0"/>
        <w:widowControl w:val="0"/>
        <w:numPr>
          <w:ilvl w:val="0"/>
          <w:numId w:val="0"/>
        </w:numPr>
        <w:kinsoku/>
        <w:wordWrap/>
        <w:overflowPunct/>
        <w:topLinePunct w:val="0"/>
        <w:autoSpaceDE/>
        <w:autoSpaceDN/>
        <w:bidi w:val="0"/>
        <w:adjustRightInd/>
        <w:snapToGrid/>
        <w:spacing w:beforeLines="0" w:afterLines="0"/>
        <w:ind w:firstLine="640" w:firstLineChars="200"/>
        <w:textAlignment w:val="auto"/>
        <w:rPr>
          <w:rFonts w:ascii="Times New Roman" w:hAnsi="Times New Roman" w:hint="eastAsia"/>
          <w:highlight w:val="none"/>
          <w:lang w:val="en-US" w:eastAsia="zh-CN"/>
        </w:rPr>
      </w:pPr>
      <w:r>
        <w:rPr>
          <w:rFonts w:ascii="Times New Roman" w:hAnsi="Times New Roman" w:hint="eastAsia"/>
          <w:b/>
          <w:bCs/>
          <w:highlight w:val="none"/>
          <w:lang w:val="en-US" w:eastAsia="zh-CN"/>
        </w:rPr>
        <w:t>处置方式：</w:t>
      </w:r>
      <w:r>
        <w:rPr>
          <w:rFonts w:ascii="Times New Roman" w:hAnsi="Times New Roman" w:hint="eastAsia"/>
          <w:highlight w:val="none"/>
          <w:lang w:val="en-US" w:eastAsia="zh-CN"/>
        </w:rPr>
        <w:t>在开展重大政策调整变更前，提前准备好应答口径，提高服务热线的应答效率。在重大政策发布后，做好政策变更的培训宣贯，在交易平台、微信公众号等官方披露渠道发布相关的通知。服务热线人员做好问题咨询登记，整理高频多发的典型问题，通过官方披露渠道统一解答，减少同一类型问题的咨询。</w:t>
      </w:r>
    </w:p>
    <w:p>
      <w:pPr>
        <w:pStyle w:val="a"/>
        <w:numPr>
          <w:ilvl w:val="0"/>
          <w:numId w:val="4"/>
        </w:numPr>
        <w:tabs>
          <w:tab w:val="left" w:pos="0"/>
          <w:tab w:val="clear" w:pos="420"/>
          <w:tab w:val="left" w:pos="1900"/>
          <w:tab w:val="left" w:pos="2422"/>
        </w:tabs>
        <w:spacing w:before="0" w:beforeLines="0" w:after="0" w:afterLines="0" w:line="560" w:lineRule="exact"/>
        <w:ind w:left="0" w:firstLine="0" w:firstLineChars="0"/>
        <w:jc w:val="center"/>
        <w:outlineLvl w:val="0"/>
        <w:rPr>
          <w:rFonts w:ascii="Times New Roman" w:eastAsia="黑体" w:hAnsi="Times New Roman" w:cs="黑体"/>
          <w:highlight w:val="none"/>
          <w:lang w:val="en-US"/>
        </w:rPr>
      </w:pPr>
      <w:r>
        <w:rPr>
          <w:rFonts w:ascii="Times New Roman" w:eastAsia="黑体" w:hAnsi="Times New Roman" w:cs="黑体" w:hint="eastAsia"/>
          <w:highlight w:val="none"/>
          <w:lang w:val="en-US"/>
        </w:rPr>
        <w:t>其他事项</w:t>
      </w:r>
    </w:p>
    <w:p>
      <w:pPr>
        <w:pStyle w:val="a"/>
        <w:spacing w:beforeLines="0" w:afterLines="0" w:line="560" w:lineRule="exact"/>
        <w:ind w:left="0" w:firstLine="0"/>
        <w:rPr>
          <w:highlight w:val="none"/>
          <w:lang w:val="en-US"/>
        </w:rPr>
      </w:pPr>
      <w:r>
        <w:rPr>
          <w:rFonts w:hint="eastAsia"/>
          <w:highlight w:val="none"/>
          <w:lang w:val="en-US" w:eastAsia="zh-CN"/>
        </w:rPr>
        <w:t xml:space="preserve"> </w:t>
      </w:r>
      <w:r>
        <w:rPr>
          <w:rFonts w:hint="eastAsia"/>
          <w:highlight w:val="none"/>
          <w:lang w:val="en-US"/>
        </w:rPr>
        <w:t>结算试运行期间发现的问题，影响市场交易组织实施和市场结算的，市场成员均可提出意见或建议，市场运营机构牵头评估和分析原因，视情况启动交易规则、参数修改程序。</w:t>
      </w:r>
    </w:p>
    <w:p>
      <w:pPr>
        <w:pStyle w:val="a"/>
        <w:spacing w:beforeLines="0" w:afterLines="0" w:line="560" w:lineRule="exact"/>
        <w:ind w:left="0" w:firstLine="0"/>
        <w:rPr>
          <w:highlight w:val="none"/>
          <w:lang w:val="en-US"/>
        </w:rPr>
      </w:pPr>
      <w:r>
        <w:rPr>
          <w:rFonts w:hint="eastAsia"/>
          <w:highlight w:val="none"/>
          <w:lang w:val="en-US" w:eastAsia="zh-CN"/>
        </w:rPr>
        <w:t xml:space="preserve"> </w:t>
      </w:r>
      <w:r>
        <w:rPr>
          <w:rFonts w:hint="eastAsia"/>
          <w:highlight w:val="none"/>
          <w:lang w:val="en-US"/>
        </w:rPr>
        <w:t>结算试运行期间，市场成员对结算规则产生较大争议等影响结算业务开展时，由市场运营机构视情况实施包括但不限于以下临时结算措施：</w:t>
      </w:r>
    </w:p>
    <w:p>
      <w:pPr>
        <w:pStyle w:val="NormalIndent"/>
        <w:numPr>
          <w:ilvl w:val="0"/>
          <w:numId w:val="7"/>
        </w:numPr>
        <w:spacing w:beforeLines="0" w:afterLines="0"/>
        <w:ind w:left="0"/>
        <w:rPr>
          <w:rFonts w:ascii="Times New Roman" w:hAnsi="Times New Roman"/>
          <w:highlight w:val="none"/>
        </w:rPr>
      </w:pPr>
      <w:r>
        <w:rPr>
          <w:rFonts w:ascii="Times New Roman" w:hAnsi="Times New Roman" w:hint="eastAsia"/>
          <w:highlight w:val="none"/>
        </w:rPr>
        <w:t>对无争议部分的电费先行结算，对于存在争议的费用待研究明确后开展结算，并视实际情况开展电费追退补工作。</w:t>
      </w:r>
    </w:p>
    <w:p>
      <w:pPr>
        <w:pStyle w:val="NormalIndent"/>
        <w:numPr>
          <w:ilvl w:val="0"/>
          <w:numId w:val="7"/>
        </w:numPr>
        <w:spacing w:beforeLines="0" w:afterLines="0"/>
        <w:ind w:left="0"/>
        <w:rPr>
          <w:rFonts w:ascii="Times New Roman" w:hAnsi="Times New Roman"/>
          <w:highlight w:val="none"/>
        </w:rPr>
      </w:pPr>
      <w:r>
        <w:rPr>
          <w:rFonts w:ascii="Times New Roman" w:hAnsi="Times New Roman" w:hint="eastAsia"/>
          <w:highlight w:val="none"/>
        </w:rPr>
        <w:t>对于因市场外部条件变化而产生市场内不平衡资金的，按照“谁产生、谁分摊”原则，依据既定的分摊机制履行程序后进行分摊。</w:t>
      </w:r>
    </w:p>
    <w:p>
      <w:pPr>
        <w:pStyle w:val="a"/>
        <w:spacing w:beforeLines="0" w:afterLines="0"/>
        <w:ind w:left="0" w:firstLine="0"/>
        <w:rPr>
          <w:highlight w:val="none"/>
          <w:lang w:val="en-US"/>
        </w:rPr>
      </w:pPr>
      <w:r>
        <w:rPr>
          <w:rFonts w:hint="eastAsia"/>
          <w:highlight w:val="none"/>
          <w:lang w:val="en-US" w:eastAsia="zh-CN"/>
        </w:rPr>
        <w:t xml:space="preserve"> </w:t>
      </w:r>
      <w:r>
        <w:rPr>
          <w:rFonts w:hint="eastAsia"/>
          <w:highlight w:val="none"/>
          <w:lang w:val="en-US"/>
        </w:rPr>
        <w:t>市场运营机构应当详细记录市场风险处置期间的有关情况，按规定向市场披露有关信息并向</w:t>
      </w:r>
      <w:r>
        <w:rPr>
          <w:rFonts w:hint="eastAsia"/>
          <w:highlight w:val="none"/>
          <w:lang w:val="en-US" w:eastAsia="zh-CN"/>
        </w:rPr>
        <w:t>政府主管部门及</w:t>
      </w:r>
      <w:r>
        <w:rPr>
          <w:rFonts w:hint="eastAsia"/>
          <w:highlight w:val="none"/>
          <w:lang w:val="en-US"/>
        </w:rPr>
        <w:t>能源监管机构提交报告。</w:t>
      </w:r>
    </w:p>
    <w:p>
      <w:pPr>
        <w:pStyle w:val="a"/>
        <w:numPr>
          <w:ilvl w:val="0"/>
          <w:numId w:val="4"/>
        </w:numPr>
        <w:tabs>
          <w:tab w:val="left" w:pos="0"/>
          <w:tab w:val="clear" w:pos="420"/>
          <w:tab w:val="left" w:pos="1900"/>
          <w:tab w:val="left" w:pos="2422"/>
        </w:tabs>
        <w:spacing w:before="0" w:beforeLines="0" w:after="0" w:afterLines="0"/>
        <w:ind w:firstLine="0" w:firstLineChars="0"/>
        <w:jc w:val="center"/>
        <w:outlineLvl w:val="0"/>
        <w:rPr>
          <w:rFonts w:ascii="Times New Roman" w:eastAsia="黑体" w:hAnsi="Times New Roman" w:cs="黑体"/>
          <w:highlight w:val="none"/>
          <w:lang w:val="en-US"/>
        </w:rPr>
      </w:pPr>
      <w:r>
        <w:rPr>
          <w:rFonts w:ascii="Times New Roman" w:eastAsia="黑体" w:hAnsi="Times New Roman" w:cs="黑体" w:hint="eastAsia"/>
          <w:highlight w:val="none"/>
          <w:lang w:val="en-US"/>
        </w:rPr>
        <w:t>附则</w:t>
      </w:r>
    </w:p>
    <w:p>
      <w:pPr>
        <w:pStyle w:val="a"/>
        <w:spacing w:beforeLines="0" w:afterLines="0"/>
        <w:ind w:left="0" w:firstLine="0"/>
        <w:rPr>
          <w:highlight w:val="none"/>
          <w:lang w:val="en-US"/>
        </w:rPr>
      </w:pPr>
      <w:r>
        <w:rPr>
          <w:rFonts w:hint="eastAsia"/>
          <w:highlight w:val="none"/>
          <w:lang w:val="en-US" w:eastAsia="zh-CN"/>
        </w:rPr>
        <w:t xml:space="preserve"> </w:t>
      </w:r>
      <w:r>
        <w:rPr>
          <w:rFonts w:hint="eastAsia"/>
          <w:highlight w:val="none"/>
          <w:lang w:val="en-US"/>
        </w:rPr>
        <w:t>市场运营机构按照本</w:t>
      </w:r>
      <w:r>
        <w:rPr>
          <w:rFonts w:hint="eastAsia"/>
          <w:highlight w:val="none"/>
          <w:lang w:val="en-US" w:eastAsia="zh-CN"/>
        </w:rPr>
        <w:t>预</w:t>
      </w:r>
      <w:r>
        <w:rPr>
          <w:rFonts w:hint="eastAsia"/>
          <w:highlight w:val="none"/>
          <w:lang w:val="en-US"/>
        </w:rPr>
        <w:t>案规定及相关授权开展异常处理和市场应急处置，因异常处置或应急处理造成损失的，市场运营机构不承担相关经济责任。</w:t>
      </w:r>
    </w:p>
    <w:p>
      <w:pPr>
        <w:pStyle w:val="a"/>
        <w:spacing w:beforeLines="0" w:afterLines="0"/>
        <w:ind w:left="0" w:firstLine="0"/>
        <w:rPr>
          <w:highlight w:val="none"/>
          <w:lang w:val="en-US"/>
        </w:rPr>
      </w:pPr>
      <w:r>
        <w:rPr>
          <w:rFonts w:hint="eastAsia"/>
          <w:highlight w:val="none"/>
          <w:lang w:val="en-US" w:eastAsia="zh-CN"/>
        </w:rPr>
        <w:t xml:space="preserve"> </w:t>
      </w:r>
      <w:r>
        <w:rPr>
          <w:rFonts w:hint="eastAsia"/>
          <w:highlight w:val="none"/>
          <w:lang w:val="en-US"/>
        </w:rPr>
        <w:t>本</w:t>
      </w:r>
      <w:r>
        <w:rPr>
          <w:rFonts w:hint="eastAsia"/>
          <w:highlight w:val="none"/>
          <w:lang w:val="en-US" w:eastAsia="zh-CN"/>
        </w:rPr>
        <w:t>预</w:t>
      </w:r>
      <w:r>
        <w:rPr>
          <w:rFonts w:hint="eastAsia"/>
          <w:highlight w:val="none"/>
          <w:lang w:val="en-US"/>
        </w:rPr>
        <w:t>案</w:t>
      </w:r>
      <w:r>
        <w:rPr>
          <w:rFonts w:hint="eastAsia"/>
          <w:highlight w:val="none"/>
        </w:rPr>
        <w:t>经</w:t>
      </w:r>
      <w:r>
        <w:rPr>
          <w:rFonts w:hint="eastAsia"/>
          <w:highlight w:val="none"/>
          <w:lang w:val="en-US" w:eastAsia="zh-CN"/>
        </w:rPr>
        <w:t>海南</w:t>
      </w:r>
      <w:r>
        <w:rPr>
          <w:rFonts w:hint="eastAsia"/>
          <w:highlight w:val="none"/>
          <w:lang w:val="en-US"/>
        </w:rPr>
        <w:t>电力</w:t>
      </w:r>
      <w:r>
        <w:rPr>
          <w:rFonts w:hint="eastAsia"/>
          <w:highlight w:val="none"/>
        </w:rPr>
        <w:t>市场管理委员会</w:t>
      </w:r>
      <w:r>
        <w:rPr>
          <w:rFonts w:hint="eastAsia"/>
          <w:highlight w:val="none"/>
          <w:lang w:val="en-US"/>
        </w:rPr>
        <w:t>审议通过</w:t>
      </w:r>
      <w:r>
        <w:rPr>
          <w:rFonts w:hint="eastAsia"/>
          <w:highlight w:val="none"/>
        </w:rPr>
        <w:t>，</w:t>
      </w:r>
      <w:r>
        <w:rPr>
          <w:rFonts w:hint="eastAsia"/>
          <w:highlight w:val="none"/>
          <w:lang w:val="en-US"/>
        </w:rPr>
        <w:t>自印发之日起生效</w:t>
      </w:r>
      <w:r>
        <w:rPr>
          <w:rFonts w:hint="eastAsia"/>
          <w:highlight w:val="none"/>
        </w:rPr>
        <w:t>。</w:t>
      </w:r>
    </w:p>
    <w:p>
      <w:pPr>
        <w:pStyle w:val="a"/>
        <w:numPr>
          <w:ilvl w:val="255"/>
          <w:numId w:val="0"/>
        </w:numPr>
        <w:spacing w:beforeLines="0" w:afterLines="0"/>
        <w:ind w:left="0" w:firstLine="0" w:leftChars="0" w:firstLineChars="0"/>
        <w:rPr>
          <w:rFonts w:hint="eastAsia"/>
          <w:highlight w:val="none"/>
        </w:rPr>
      </w:pPr>
    </w:p>
    <w:p>
      <w:pPr>
        <w:pStyle w:val="a"/>
        <w:numPr>
          <w:ilvl w:val="255"/>
          <w:numId w:val="0"/>
        </w:numPr>
        <w:spacing w:beforeLines="0" w:afterLines="0"/>
        <w:ind w:left="0" w:firstLine="0" w:leftChars="0" w:firstLineChars="0"/>
        <w:rPr>
          <w:rFonts w:hint="eastAsia"/>
          <w:highlight w:val="none"/>
        </w:rPr>
      </w:pPr>
    </w:p>
    <w:p>
      <w:pPr>
        <w:pStyle w:val="a"/>
        <w:numPr>
          <w:ilvl w:val="255"/>
          <w:numId w:val="0"/>
        </w:numPr>
        <w:ind w:left="0" w:firstLine="0" w:leftChars="0" w:firstLineChars="0"/>
        <w:rPr>
          <w:rFonts w:hint="eastAsia"/>
          <w:highlight w:val="none"/>
        </w:rPr>
      </w:pPr>
    </w:p>
    <w:p>
      <w:pPr>
        <w:ind w:left="0" w:leftChars="0" w:firstLineChars="0"/>
        <w:rPr>
          <w:rFonts w:hint="eastAsia"/>
          <w:highlight w:val="none"/>
        </w:rPr>
      </w:pPr>
      <w:r>
        <w:rPr>
          <w:rFonts w:hint="eastAsia"/>
          <w:highlight w:val="none"/>
        </w:rPr>
        <w:br w:type="page"/>
      </w:r>
    </w:p>
    <w:p>
      <w:pPr>
        <w:pStyle w:val="a"/>
        <w:numPr>
          <w:ilvl w:val="255"/>
          <w:numId w:val="0"/>
        </w:numPr>
        <w:ind w:left="0" w:firstLine="0" w:leftChars="0" w:firstLineChars="0"/>
        <w:rPr>
          <w:rFonts w:hint="eastAsia"/>
          <w:highlight w:val="none"/>
        </w:rPr>
      </w:pPr>
    </w:p>
    <w:p>
      <w:pPr>
        <w:pStyle w:val="a"/>
        <w:numPr>
          <w:ilvl w:val="255"/>
          <w:numId w:val="0"/>
        </w:numPr>
        <w:ind w:left="0" w:firstLine="0" w:leftChars="0" w:firstLineChars="0"/>
        <w:rPr>
          <w:rFonts w:ascii="黑体" w:eastAsia="黑体" w:hAnsi="黑体" w:cs="黑体" w:hint="eastAsia"/>
          <w:highlight w:val="none"/>
          <w:lang w:val="en-US" w:eastAsia="zh-CN"/>
        </w:rPr>
      </w:pPr>
      <w:r>
        <w:rPr>
          <w:rFonts w:ascii="黑体" w:eastAsia="黑体" w:hAnsi="黑体" w:cs="黑体" w:hint="eastAsia"/>
          <w:highlight w:val="none"/>
          <w:lang w:val="en-US" w:eastAsia="zh-CN"/>
        </w:rPr>
        <w:t>附录：</w:t>
      </w:r>
    </w:p>
    <w:p>
      <w:pPr>
        <w:pStyle w:val="a"/>
        <w:numPr>
          <w:ilvl w:val="255"/>
          <w:numId w:val="0"/>
        </w:numPr>
        <w:ind w:left="0" w:firstLine="0" w:leftChars="0" w:firstLineChars="0"/>
        <w:jc w:val="center"/>
        <w:rPr>
          <w:rFonts w:ascii="Times New Roman" w:hAnsi="Times New Roman" w:hint="eastAsia"/>
          <w:b/>
          <w:bCs/>
          <w:sz w:val="36"/>
          <w:szCs w:val="36"/>
          <w:highlight w:val="none"/>
          <w:lang w:val="en-US"/>
        </w:rPr>
      </w:pPr>
      <w:r>
        <w:rPr>
          <w:rFonts w:ascii="Times New Roman" w:hAnsi="Times New Roman" w:hint="eastAsia"/>
          <w:b/>
          <w:bCs/>
          <w:sz w:val="36"/>
          <w:szCs w:val="36"/>
          <w:highlight w:val="none"/>
          <w:lang w:val="en-US" w:eastAsia="zh-CN"/>
        </w:rPr>
        <w:t>海南</w:t>
      </w:r>
      <w:r>
        <w:rPr>
          <w:rFonts w:ascii="Times New Roman" w:hAnsi="Times New Roman" w:hint="eastAsia"/>
          <w:b/>
          <w:bCs/>
          <w:sz w:val="36"/>
          <w:szCs w:val="36"/>
          <w:highlight w:val="none"/>
          <w:lang w:val="en-US"/>
        </w:rPr>
        <w:t>电力现货市场运营提示单</w:t>
      </w:r>
    </w:p>
    <w:p>
      <w:pPr>
        <w:pStyle w:val="a"/>
        <w:numPr>
          <w:ilvl w:val="255"/>
          <w:numId w:val="0"/>
        </w:numPr>
        <w:spacing w:line="200" w:lineRule="exact"/>
        <w:ind w:left="0" w:firstLine="0" w:leftChars="0" w:firstLineChars="0"/>
        <w:jc w:val="center"/>
        <w:rPr>
          <w:rFonts w:ascii="Times New Roman" w:hAnsi="Times New Roman" w:hint="eastAsia"/>
          <w:sz w:val="18"/>
          <w:szCs w:val="18"/>
          <w:highlight w:val="none"/>
          <w:lang w:val="en-US"/>
        </w:rPr>
      </w:pPr>
    </w:p>
    <w:p>
      <w:pPr>
        <w:pStyle w:val="a"/>
        <w:numPr>
          <w:ilvl w:val="255"/>
          <w:numId w:val="0"/>
        </w:numPr>
        <w:ind w:left="0" w:firstLine="0" w:leftChars="0" w:firstLineChars="0"/>
        <w:jc w:val="center"/>
        <w:rPr>
          <w:rFonts w:ascii="Times New Roman" w:hAnsi="Times New Roman" w:hint="eastAsia"/>
          <w:highlight w:val="none"/>
          <w:lang w:val="en-US" w:eastAsia="zh-CN"/>
        </w:rPr>
      </w:pPr>
      <w:r>
        <w:rPr>
          <w:rFonts w:ascii="仿宋_GB2312" w:hAnsi="仿宋_GB2312" w:cs="仿宋_GB2312" w:hint="eastAsia"/>
          <w:sz w:val="28"/>
          <w:szCs w:val="28"/>
          <w:highlight w:val="none"/>
          <w:lang w:val="en-US" w:eastAsia="zh-CN"/>
        </w:rPr>
        <w:t>XX年X月X日</w:t>
      </w:r>
      <w:r>
        <w:rPr>
          <w:rFonts w:ascii="Times New Roman" w:hAnsi="Times New Roman" w:hint="eastAsia"/>
          <w:sz w:val="28"/>
          <w:szCs w:val="28"/>
          <w:highlight w:val="none"/>
          <w:lang w:val="en-US" w:eastAsia="zh-CN"/>
        </w:rPr>
        <w:t xml:space="preserve">          编号：            签发：</w:t>
      </w:r>
    </w:p>
    <w:p>
      <w:pPr>
        <w:pStyle w:val="a"/>
        <w:numPr>
          <w:ilvl w:val="255"/>
          <w:numId w:val="0"/>
        </w:numPr>
        <w:spacing w:line="200" w:lineRule="exact"/>
        <w:ind w:left="0" w:firstLine="0" w:leftChars="0" w:firstLineChars="0"/>
        <w:jc w:val="left"/>
        <w:rPr>
          <w:rFonts w:ascii="Times New Roman" w:hAnsi="Times New Roman" w:hint="default"/>
          <w:highlight w:val="none"/>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593"/>
        <w:gridCol w:w="692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70"/>
        </w:trPr>
        <w:tc>
          <w:tcPr>
            <w:tcW w:w="1593" w:type="dxa"/>
          </w:tcPr>
          <w:p>
            <w:pPr>
              <w:pStyle w:val="a"/>
              <w:numPr>
                <w:ilvl w:val="255"/>
                <w:numId w:val="0"/>
              </w:numPr>
              <w:jc w:val="center"/>
              <w:rPr>
                <w:rFonts w:ascii="Times New Roman" w:hAnsi="Times New Roman" w:hint="default"/>
                <w:b/>
                <w:bCs/>
                <w:highlight w:val="none"/>
                <w:vertAlign w:val="baseline"/>
                <w:lang w:val="en-US" w:eastAsia="zh-CN"/>
              </w:rPr>
            </w:pPr>
            <w:r>
              <w:rPr>
                <w:rFonts w:ascii="Times New Roman" w:hAnsi="Times New Roman" w:hint="eastAsia"/>
                <w:b/>
                <w:bCs/>
                <w:highlight w:val="none"/>
                <w:vertAlign w:val="baseline"/>
                <w:lang w:val="en-US" w:eastAsia="zh-CN"/>
              </w:rPr>
              <w:t>主送</w:t>
            </w:r>
          </w:p>
        </w:tc>
        <w:tc>
          <w:tcPr>
            <w:tcW w:w="6929" w:type="dxa"/>
          </w:tcPr>
          <w:p>
            <w:pPr>
              <w:pStyle w:val="a"/>
              <w:numPr>
                <w:ilvl w:val="255"/>
                <w:numId w:val="0"/>
              </w:numPr>
              <w:jc w:val="center"/>
              <w:rPr>
                <w:rFonts w:ascii="Times New Roman" w:hAnsi="Times New Roman" w:hint="eastAsia"/>
                <w:b/>
                <w:bCs/>
                <w:highlight w:val="none"/>
                <w:vertAlign w:val="baseline"/>
                <w:lang w:val="en-US" w:eastAsia="zh-CN"/>
              </w:rPr>
            </w:pPr>
          </w:p>
        </w:tc>
      </w:tr>
      <w:tr>
        <w:tblPrEx>
          <w:tblW w:w="0" w:type="auto"/>
          <w:tblInd w:w="0" w:type="dxa"/>
          <w:tblCellMar>
            <w:top w:w="0" w:type="dxa"/>
            <w:left w:w="108" w:type="dxa"/>
            <w:bottom w:w="0" w:type="dxa"/>
            <w:right w:w="108" w:type="dxa"/>
          </w:tblCellMar>
        </w:tblPrEx>
        <w:trPr>
          <w:trHeight w:val="670"/>
        </w:trPr>
        <w:tc>
          <w:tcPr>
            <w:tcW w:w="1593" w:type="dxa"/>
          </w:tcPr>
          <w:p>
            <w:pPr>
              <w:pStyle w:val="a"/>
              <w:numPr>
                <w:ilvl w:val="255"/>
                <w:numId w:val="0"/>
              </w:numPr>
              <w:jc w:val="center"/>
              <w:rPr>
                <w:rFonts w:ascii="Times New Roman" w:hAnsi="Times New Roman" w:hint="default"/>
                <w:b/>
                <w:bCs/>
                <w:highlight w:val="none"/>
                <w:vertAlign w:val="baseline"/>
                <w:lang w:val="en-US" w:eastAsia="zh-CN"/>
              </w:rPr>
            </w:pPr>
            <w:r>
              <w:rPr>
                <w:rFonts w:ascii="Times New Roman" w:hAnsi="Times New Roman" w:hint="eastAsia"/>
                <w:b/>
                <w:bCs/>
                <w:highlight w:val="none"/>
                <w:vertAlign w:val="baseline"/>
                <w:lang w:val="en-US" w:eastAsia="zh-CN"/>
              </w:rPr>
              <w:t>抄送</w:t>
            </w:r>
          </w:p>
        </w:tc>
        <w:tc>
          <w:tcPr>
            <w:tcW w:w="6929" w:type="dxa"/>
          </w:tcPr>
          <w:p>
            <w:pPr>
              <w:pStyle w:val="a"/>
              <w:numPr>
                <w:ilvl w:val="255"/>
                <w:numId w:val="0"/>
              </w:numPr>
              <w:jc w:val="center"/>
              <w:rPr>
                <w:rFonts w:ascii="Times New Roman" w:hAnsi="Times New Roman" w:hint="eastAsia"/>
                <w:b/>
                <w:bCs/>
                <w:highlight w:val="none"/>
                <w:vertAlign w:val="baseline"/>
                <w:lang w:val="en-US" w:eastAsia="zh-CN"/>
              </w:rPr>
            </w:pPr>
          </w:p>
        </w:tc>
      </w:tr>
      <w:tr>
        <w:tblPrEx>
          <w:tblW w:w="0" w:type="auto"/>
          <w:tblInd w:w="0" w:type="dxa"/>
          <w:tblCellMar>
            <w:top w:w="0" w:type="dxa"/>
            <w:left w:w="108" w:type="dxa"/>
            <w:bottom w:w="0" w:type="dxa"/>
            <w:right w:w="108" w:type="dxa"/>
          </w:tblCellMar>
        </w:tblPrEx>
        <w:trPr>
          <w:trHeight w:val="680"/>
        </w:trPr>
        <w:tc>
          <w:tcPr>
            <w:tcW w:w="1593" w:type="dxa"/>
          </w:tcPr>
          <w:p>
            <w:pPr>
              <w:pStyle w:val="a"/>
              <w:numPr>
                <w:ilvl w:val="255"/>
                <w:numId w:val="0"/>
              </w:numPr>
              <w:jc w:val="center"/>
              <w:rPr>
                <w:rFonts w:ascii="Times New Roman" w:hAnsi="Times New Roman" w:hint="default"/>
                <w:b/>
                <w:bCs/>
                <w:highlight w:val="none"/>
                <w:vertAlign w:val="baseline"/>
                <w:lang w:val="en-US" w:eastAsia="zh-CN"/>
              </w:rPr>
            </w:pPr>
            <w:r>
              <w:rPr>
                <w:rFonts w:ascii="Times New Roman" w:hAnsi="Times New Roman" w:hint="eastAsia"/>
                <w:b/>
                <w:bCs/>
                <w:highlight w:val="none"/>
                <w:vertAlign w:val="baseline"/>
                <w:lang w:val="en-US" w:eastAsia="zh-CN"/>
              </w:rPr>
              <w:t>发布</w:t>
            </w:r>
          </w:p>
        </w:tc>
        <w:tc>
          <w:tcPr>
            <w:tcW w:w="6929" w:type="dxa"/>
          </w:tcPr>
          <w:p>
            <w:pPr>
              <w:pStyle w:val="a"/>
              <w:numPr>
                <w:ilvl w:val="255"/>
                <w:numId w:val="0"/>
              </w:numPr>
              <w:jc w:val="center"/>
              <w:rPr>
                <w:rFonts w:ascii="Times New Roman" w:hAnsi="Times New Roman" w:hint="eastAsia"/>
                <w:b/>
                <w:bCs/>
                <w:highlight w:val="none"/>
                <w:vertAlign w:val="baseline"/>
                <w:lang w:val="en-US" w:eastAsia="zh-CN"/>
              </w:rPr>
            </w:pPr>
          </w:p>
        </w:tc>
      </w:tr>
      <w:tr>
        <w:tblPrEx>
          <w:tblW w:w="0" w:type="auto"/>
          <w:tblInd w:w="0" w:type="dxa"/>
          <w:tblCellMar>
            <w:top w:w="0" w:type="dxa"/>
            <w:left w:w="108" w:type="dxa"/>
            <w:bottom w:w="0" w:type="dxa"/>
            <w:right w:w="108" w:type="dxa"/>
          </w:tblCellMar>
        </w:tblPrEx>
        <w:trPr>
          <w:trHeight w:val="640"/>
        </w:trPr>
        <w:tc>
          <w:tcPr>
            <w:tcW w:w="1593" w:type="dxa"/>
          </w:tcPr>
          <w:p>
            <w:pPr>
              <w:pStyle w:val="a"/>
              <w:numPr>
                <w:ilvl w:val="255"/>
                <w:numId w:val="0"/>
              </w:numPr>
              <w:jc w:val="center"/>
              <w:rPr>
                <w:rFonts w:ascii="Times New Roman" w:hAnsi="Times New Roman" w:hint="default"/>
                <w:b/>
                <w:bCs/>
                <w:highlight w:val="none"/>
                <w:vertAlign w:val="baseline"/>
                <w:lang w:val="en-US" w:eastAsia="zh-CN"/>
              </w:rPr>
            </w:pPr>
            <w:r>
              <w:rPr>
                <w:rFonts w:ascii="Times New Roman" w:hAnsi="Times New Roman" w:hint="eastAsia"/>
                <w:b/>
                <w:bCs/>
                <w:highlight w:val="none"/>
                <w:vertAlign w:val="baseline"/>
                <w:lang w:val="en-US" w:eastAsia="zh-CN"/>
              </w:rPr>
              <w:t>概要</w:t>
            </w:r>
          </w:p>
        </w:tc>
        <w:tc>
          <w:tcPr>
            <w:tcW w:w="6929" w:type="dxa"/>
          </w:tcPr>
          <w:p>
            <w:pPr>
              <w:pStyle w:val="a"/>
              <w:numPr>
                <w:ilvl w:val="255"/>
                <w:numId w:val="0"/>
              </w:numPr>
              <w:jc w:val="center"/>
              <w:rPr>
                <w:rFonts w:ascii="Times New Roman" w:hAnsi="Times New Roman" w:hint="eastAsia"/>
                <w:b/>
                <w:bCs/>
                <w:highlight w:val="none"/>
                <w:vertAlign w:val="baseline"/>
                <w:lang w:val="en-US" w:eastAsia="zh-CN"/>
              </w:rPr>
            </w:pPr>
          </w:p>
        </w:tc>
      </w:tr>
      <w:tr>
        <w:tblPrEx>
          <w:tblW w:w="0" w:type="auto"/>
          <w:tblInd w:w="0" w:type="dxa"/>
          <w:tblCellMar>
            <w:top w:w="0" w:type="dxa"/>
            <w:left w:w="108" w:type="dxa"/>
            <w:bottom w:w="0" w:type="dxa"/>
            <w:right w:w="108" w:type="dxa"/>
          </w:tblCellMar>
        </w:tblPrEx>
        <w:trPr>
          <w:trHeight w:val="1435"/>
        </w:trPr>
        <w:tc>
          <w:tcPr>
            <w:tcW w:w="1593" w:type="dxa"/>
            <w:vAlign w:val="center"/>
          </w:tcPr>
          <w:p>
            <w:pPr>
              <w:pStyle w:val="a"/>
              <w:numPr>
                <w:ilvl w:val="255"/>
                <w:numId w:val="0"/>
              </w:numPr>
              <w:jc w:val="center"/>
              <w:rPr>
                <w:rFonts w:ascii="Times New Roman" w:hAnsi="Times New Roman" w:hint="default"/>
                <w:b/>
                <w:bCs/>
                <w:highlight w:val="none"/>
                <w:vertAlign w:val="baseline"/>
                <w:lang w:val="en-US" w:eastAsia="zh-CN"/>
              </w:rPr>
            </w:pPr>
            <w:r>
              <w:rPr>
                <w:rFonts w:ascii="Times New Roman" w:hAnsi="Times New Roman" w:hint="eastAsia"/>
                <w:b/>
                <w:bCs/>
                <w:highlight w:val="none"/>
                <w:vertAlign w:val="baseline"/>
                <w:lang w:val="en-US" w:eastAsia="zh-CN"/>
              </w:rPr>
              <w:t>提示内容</w:t>
            </w:r>
          </w:p>
        </w:tc>
        <w:tc>
          <w:tcPr>
            <w:tcW w:w="6929" w:type="dxa"/>
          </w:tcPr>
          <w:p>
            <w:pPr>
              <w:pStyle w:val="a"/>
              <w:numPr>
                <w:ilvl w:val="255"/>
                <w:numId w:val="0"/>
              </w:numPr>
              <w:jc w:val="center"/>
              <w:rPr>
                <w:rFonts w:ascii="Times New Roman" w:hAnsi="Times New Roman" w:hint="eastAsia"/>
                <w:b/>
                <w:bCs/>
                <w:highlight w:val="none"/>
                <w:vertAlign w:val="baseline"/>
                <w:lang w:val="en-US" w:eastAsia="zh-CN"/>
              </w:rPr>
            </w:pPr>
          </w:p>
        </w:tc>
      </w:tr>
      <w:tr>
        <w:tblPrEx>
          <w:tblW w:w="0" w:type="auto"/>
          <w:tblInd w:w="0" w:type="dxa"/>
          <w:tblCellMar>
            <w:top w:w="0" w:type="dxa"/>
            <w:left w:w="108" w:type="dxa"/>
            <w:bottom w:w="0" w:type="dxa"/>
            <w:right w:w="108" w:type="dxa"/>
          </w:tblCellMar>
        </w:tblPrEx>
        <w:trPr>
          <w:trHeight w:val="2210"/>
        </w:trPr>
        <w:tc>
          <w:tcPr>
            <w:tcW w:w="8522" w:type="dxa"/>
            <w:gridSpan w:val="2"/>
          </w:tcPr>
          <w:p>
            <w:pPr>
              <w:pStyle w:val="a"/>
              <w:numPr>
                <w:ilvl w:val="255"/>
                <w:numId w:val="0"/>
              </w:numPr>
              <w:jc w:val="both"/>
              <w:rPr>
                <w:rFonts w:ascii="Times New Roman" w:hAnsi="Times New Roman" w:hint="default"/>
                <w:b/>
                <w:bCs/>
                <w:highlight w:val="none"/>
                <w:vertAlign w:val="baseline"/>
                <w:lang w:val="en-US" w:eastAsia="zh-CN"/>
              </w:rPr>
            </w:pPr>
            <w:r>
              <w:rPr>
                <w:rFonts w:ascii="Times New Roman" w:hAnsi="Times New Roman" w:hint="eastAsia"/>
                <w:b/>
                <w:bCs/>
                <w:highlight w:val="none"/>
                <w:vertAlign w:val="baseline"/>
                <w:lang w:val="en-US" w:eastAsia="zh-CN"/>
              </w:rPr>
              <w:t>特别声明：</w:t>
            </w:r>
          </w:p>
        </w:tc>
      </w:tr>
    </w:tbl>
    <w:p>
      <w:pPr>
        <w:pStyle w:val="a"/>
        <w:numPr>
          <w:ilvl w:val="255"/>
          <w:numId w:val="0"/>
        </w:numPr>
        <w:ind w:left="0" w:firstLine="0" w:leftChars="0" w:firstLineChars="0"/>
        <w:jc w:val="left"/>
        <w:rPr>
          <w:rFonts w:ascii="Times New Roman" w:hAnsi="Times New Roman" w:hint="default"/>
          <w:highlight w:val="none"/>
          <w:lang w:val="en-US" w:eastAsia="zh-CN"/>
        </w:rPr>
      </w:pPr>
    </w:p>
    <w:sectPr>
      <w:footerReference w:type="default" r:id="rId5"/>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outside;mso-position-horizontal-relative:margin;mso-width-relative:page;mso-wrap-style:none;position:absolute;z-index:251659264" coordsize="21600,21600" filled="f" stroked="f">
              <o:lock v:ext="edit" aspectratio="f"/>
              <v:textbox style="mso-fit-shape-to-text:t" inset="0,0,0,0">
                <w:txbxContent>
                  <w:p>
                    <w:pPr>
                      <w:pStyle w:val="Footer"/>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F066AFC"/>
    <w:multiLevelType w:val="singleLevel"/>
    <w:tmpl w:val="BF066AFC"/>
    <w:lvl w:ilvl="0">
      <w:start w:val="1"/>
      <w:numFmt w:val="chineseCounting"/>
      <w:suff w:val="nothing"/>
      <w:lvlText w:val="（%1）"/>
      <w:lvlJc w:val="left"/>
      <w:rPr>
        <w:rFonts w:hint="eastAsia"/>
      </w:rPr>
    </w:lvl>
  </w:abstractNum>
  <w:abstractNum w:abstractNumId="1">
    <w:nsid w:val="0A9180C1"/>
    <w:multiLevelType w:val="singleLevel"/>
    <w:tmpl w:val="0A9180C1"/>
    <w:lvl w:ilvl="0">
      <w:start w:val="1"/>
      <w:numFmt w:val="chineseCounting"/>
      <w:suff w:val="nothing"/>
      <w:lvlText w:val="（%1）"/>
      <w:lvlJc w:val="left"/>
      <w:rPr>
        <w:rFonts w:hint="eastAsia"/>
      </w:rPr>
    </w:lvl>
  </w:abstractNum>
  <w:abstractNum w:abstractNumId="2">
    <w:nsid w:val="2494BDA8"/>
    <w:multiLevelType w:val="multilevel"/>
    <w:tmpl w:val="2494BDA8"/>
    <w:lvl w:ilvl="0">
      <w:start w:val="1"/>
      <w:numFmt w:val="chineseCounting"/>
      <w:suff w:val="nothing"/>
      <w:lvlText w:val="%1、"/>
      <w:lvlJc w:val="left"/>
      <w:pPr>
        <w:tabs>
          <w:tab w:val="left" w:pos="0"/>
        </w:tabs>
        <w:ind w:left="0" w:firstLine="0"/>
      </w:pPr>
      <w:rPr>
        <w:rFonts w:hint="eastAsia"/>
      </w:rPr>
    </w:lvl>
    <w:lvl w:ilvl="1">
      <w:start w:val="1"/>
      <w:numFmt w:val="chineseCounting"/>
      <w:pStyle w:val="Heading2"/>
      <w:suff w:val="nothing"/>
      <w:lvlText w:val="（%2）"/>
      <w:lvlJc w:val="left"/>
      <w:pPr>
        <w:tabs>
          <w:tab w:val="left" w:pos="0"/>
        </w:tabs>
        <w:ind w:left="0" w:firstLine="0"/>
      </w:pPr>
      <w:rPr>
        <w:rFonts w:hint="eastAsia"/>
      </w:rPr>
    </w:lvl>
    <w:lvl w:ilvl="2">
      <w:start w:val="1"/>
      <w:numFmt w:val="decimal"/>
      <w:suff w:val="nothing"/>
      <w:lvlText w:val="%3．"/>
      <w:lvlJc w:val="left"/>
      <w:pPr>
        <w:tabs>
          <w:tab w:val="left" w:pos="0"/>
        </w:tabs>
        <w:ind w:left="0" w:firstLine="400"/>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3">
    <w:nsid w:val="2E5BDB33"/>
    <w:multiLevelType w:val="singleLevel"/>
    <w:tmpl w:val="2E5BDB33"/>
    <w:lvl w:ilvl="0">
      <w:start w:val="2"/>
      <w:numFmt w:val="chineseCounting"/>
      <w:suff w:val="nothing"/>
      <w:lvlText w:val="（%1）"/>
      <w:lvlJc w:val="left"/>
      <w:rPr>
        <w:rFonts w:hint="eastAsia"/>
      </w:rPr>
    </w:lvl>
  </w:abstractNum>
  <w:abstractNum w:abstractNumId="4">
    <w:nsid w:val="3CBFFA7C"/>
    <w:multiLevelType w:val="singleLevel"/>
    <w:tmpl w:val="3CBFFA7C"/>
    <w:lvl w:ilvl="0">
      <w:start w:val="1"/>
      <w:numFmt w:val="chineseCounting"/>
      <w:suff w:val="space"/>
      <w:lvlText w:val="第%1章"/>
      <w:lvlJc w:val="left"/>
      <w:pPr>
        <w:tabs>
          <w:tab w:val="left" w:pos="420"/>
        </w:tabs>
        <w:ind w:left="0" w:firstLine="397"/>
      </w:pPr>
      <w:rPr>
        <w:rFonts w:hint="eastAsia"/>
      </w:rPr>
    </w:lvl>
  </w:abstractNum>
  <w:abstractNum w:abstractNumId="5">
    <w:nsid w:val="557D67F7"/>
    <w:multiLevelType w:val="multilevel"/>
    <w:tmpl w:val="557D67F7"/>
    <w:lvl w:ilvl="0">
      <w:start w:val="1"/>
      <w:numFmt w:val="chineseCountingThousand"/>
      <w:pStyle w:val="a"/>
      <w:lvlText w:val="第%1条"/>
      <w:lvlJc w:val="left"/>
      <w:pPr>
        <w:tabs>
          <w:tab w:val="left" w:pos="2422"/>
        </w:tabs>
        <w:ind w:left="1078" w:firstLine="624"/>
      </w:pPr>
      <w:rPr>
        <w:rFonts w:ascii="仿宋_GB2312" w:eastAsia="仿宋_GB2312" w:hint="eastAsia"/>
        <w:b/>
        <w:i w:val="0"/>
        <w:color w:val="333333"/>
        <w:sz w:val="32"/>
        <w:szCs w:val="32"/>
        <w:lang w:val="en-US"/>
      </w:rPr>
    </w:lvl>
    <w:lvl w:ilvl="1">
      <w:start w:val="1"/>
      <w:numFmt w:val="japaneseCounting"/>
      <w:lvlText w:val="（%2）"/>
      <w:lvlJc w:val="left"/>
      <w:pPr>
        <w:tabs>
          <w:tab w:val="left" w:pos="64"/>
        </w:tabs>
        <w:ind w:left="64" w:hanging="720"/>
      </w:pPr>
      <w:rPr>
        <w:rFonts w:hint="eastAsia"/>
      </w:rPr>
    </w:lvl>
    <w:lvl w:ilvl="2">
      <w:start w:val="1"/>
      <w:numFmt w:val="lowerRoman"/>
      <w:lvlText w:val="%3."/>
      <w:lvlJc w:val="right"/>
      <w:pPr>
        <w:tabs>
          <w:tab w:val="left" w:pos="184"/>
        </w:tabs>
        <w:ind w:left="184" w:hanging="420"/>
      </w:pPr>
    </w:lvl>
    <w:lvl w:ilvl="3">
      <w:start w:val="1"/>
      <w:numFmt w:val="decimal"/>
      <w:lvlText w:val="%4."/>
      <w:lvlJc w:val="left"/>
      <w:pPr>
        <w:tabs>
          <w:tab w:val="left" w:pos="604"/>
        </w:tabs>
        <w:ind w:left="604" w:hanging="420"/>
      </w:pPr>
    </w:lvl>
    <w:lvl w:ilvl="4">
      <w:start w:val="1"/>
      <w:numFmt w:val="lowerLetter"/>
      <w:lvlText w:val="%5)"/>
      <w:lvlJc w:val="left"/>
      <w:pPr>
        <w:tabs>
          <w:tab w:val="left" w:pos="1024"/>
        </w:tabs>
        <w:ind w:left="1024" w:hanging="420"/>
      </w:pPr>
    </w:lvl>
    <w:lvl w:ilvl="5">
      <w:start w:val="1"/>
      <w:numFmt w:val="lowerRoman"/>
      <w:lvlText w:val="%6."/>
      <w:lvlJc w:val="right"/>
      <w:pPr>
        <w:tabs>
          <w:tab w:val="left" w:pos="1444"/>
        </w:tabs>
        <w:ind w:left="1444" w:hanging="420"/>
      </w:pPr>
    </w:lvl>
    <w:lvl w:ilvl="6">
      <w:start w:val="1"/>
      <w:numFmt w:val="decimal"/>
      <w:lvlText w:val="%7."/>
      <w:lvlJc w:val="left"/>
      <w:pPr>
        <w:tabs>
          <w:tab w:val="left" w:pos="1864"/>
        </w:tabs>
        <w:ind w:left="1864" w:hanging="420"/>
      </w:pPr>
    </w:lvl>
    <w:lvl w:ilvl="7">
      <w:start w:val="1"/>
      <w:numFmt w:val="lowerLetter"/>
      <w:lvlText w:val="%8)"/>
      <w:lvlJc w:val="left"/>
      <w:pPr>
        <w:tabs>
          <w:tab w:val="left" w:pos="2284"/>
        </w:tabs>
        <w:ind w:left="2284" w:hanging="420"/>
      </w:pPr>
    </w:lvl>
    <w:lvl w:ilvl="8">
      <w:start w:val="1"/>
      <w:numFmt w:val="lowerRoman"/>
      <w:lvlText w:val="%9."/>
      <w:lvlJc w:val="right"/>
      <w:pPr>
        <w:tabs>
          <w:tab w:val="left" w:pos="2704"/>
        </w:tabs>
        <w:ind w:left="2704" w:hanging="420"/>
      </w:pPr>
    </w:lvl>
  </w:abstractNum>
  <w:abstractNum w:abstractNumId="6">
    <w:nsid w:val="5D51BA06"/>
    <w:multiLevelType w:val="singleLevel"/>
    <w:tmpl w:val="5D51BA06"/>
    <w:lvl w:ilvl="0">
      <w:start w:val="1"/>
      <w:numFmt w:val="chineseCounting"/>
      <w:pStyle w:val="BodyText"/>
      <w:suff w:val="space"/>
      <w:lvlText w:val="第%1条"/>
      <w:lvlJc w:val="left"/>
      <w:pPr>
        <w:tabs>
          <w:tab w:val="left" w:pos="0"/>
        </w:tabs>
        <w:ind w:left="0" w:firstLine="420"/>
      </w:pPr>
      <w:rPr>
        <w:rFonts w:ascii="仿宋_GB2312" w:eastAsia="仿宋_GB2312" w:hAnsi="仿宋_GB2312" w:cs="仿宋_GB2312" w:hint="eastAsia"/>
        <w:sz w:val="32"/>
        <w:szCs w:val="32"/>
      </w:rPr>
    </w:lvl>
  </w:abstractNum>
  <w:num w:numId="1">
    <w:abstractNumId w:val="2"/>
  </w:num>
  <w:num w:numId="2">
    <w:abstractNumId w:val="6"/>
  </w:num>
  <w:num w:numId="3">
    <w:abstractNumId w:val="5"/>
  </w:num>
  <w:num w:numId="4">
    <w:abstractNumId w:val="4"/>
  </w:num>
  <w:num w:numId="5">
    <w:abstractNumId w:val="0"/>
  </w:num>
  <w:num w:numId="6">
    <w:abstractNumId w:val="3"/>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交易中心文书">
    <w15:presenceInfo w15:providerId="None" w15:userId="交易中心文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revisionView w:comments="1" w:formatting="1" w:inkAnnotations="1" w:insDel="1" w:markup="0"/>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A4233A"/>
    <w:rsid w:val="BFD6081A"/>
    <w:rsid w:val="F37E1DA1"/>
    <w:rsid w:val="F7BA5E68"/>
    <w:rsid w:val="FFAEF28B"/>
    <w:rsid w:val="FFDFE5C9"/>
    <w:rsid w:val="000964ED"/>
    <w:rsid w:val="000C72FA"/>
    <w:rsid w:val="001A3EDE"/>
    <w:rsid w:val="001C1A09"/>
    <w:rsid w:val="002A37CE"/>
    <w:rsid w:val="003F1AB1"/>
    <w:rsid w:val="00440554"/>
    <w:rsid w:val="004A79FC"/>
    <w:rsid w:val="00547C3E"/>
    <w:rsid w:val="00565217"/>
    <w:rsid w:val="005906EB"/>
    <w:rsid w:val="006A2210"/>
    <w:rsid w:val="007F1F32"/>
    <w:rsid w:val="008863B5"/>
    <w:rsid w:val="00972262"/>
    <w:rsid w:val="00A3394B"/>
    <w:rsid w:val="00A528E8"/>
    <w:rsid w:val="00AE2FB4"/>
    <w:rsid w:val="00B829FC"/>
    <w:rsid w:val="00B84163"/>
    <w:rsid w:val="00C42103"/>
    <w:rsid w:val="00C7779C"/>
    <w:rsid w:val="00CA0116"/>
    <w:rsid w:val="00D00EF0"/>
    <w:rsid w:val="00D600FB"/>
    <w:rsid w:val="00D641FF"/>
    <w:rsid w:val="00F06661"/>
    <w:rsid w:val="00F523B4"/>
    <w:rsid w:val="01037A33"/>
    <w:rsid w:val="01610F05"/>
    <w:rsid w:val="01F436E1"/>
    <w:rsid w:val="0256070A"/>
    <w:rsid w:val="025B6D0C"/>
    <w:rsid w:val="02600272"/>
    <w:rsid w:val="02692B9C"/>
    <w:rsid w:val="02D81F51"/>
    <w:rsid w:val="02E04338"/>
    <w:rsid w:val="03061A7B"/>
    <w:rsid w:val="03415299"/>
    <w:rsid w:val="0388769C"/>
    <w:rsid w:val="03B14508"/>
    <w:rsid w:val="03C71A19"/>
    <w:rsid w:val="03D768EA"/>
    <w:rsid w:val="04332FAF"/>
    <w:rsid w:val="0458398C"/>
    <w:rsid w:val="045F7686"/>
    <w:rsid w:val="04EE1081"/>
    <w:rsid w:val="050242DE"/>
    <w:rsid w:val="05284BC5"/>
    <w:rsid w:val="05756D6F"/>
    <w:rsid w:val="057C3464"/>
    <w:rsid w:val="05F66670"/>
    <w:rsid w:val="069D3471"/>
    <w:rsid w:val="06A21D28"/>
    <w:rsid w:val="06DA5D7B"/>
    <w:rsid w:val="071C5354"/>
    <w:rsid w:val="07685B59"/>
    <w:rsid w:val="078E323D"/>
    <w:rsid w:val="0790064D"/>
    <w:rsid w:val="07E14F05"/>
    <w:rsid w:val="081B4547"/>
    <w:rsid w:val="083A1C25"/>
    <w:rsid w:val="09167B80"/>
    <w:rsid w:val="095738F3"/>
    <w:rsid w:val="09DD5527"/>
    <w:rsid w:val="0AA66D70"/>
    <w:rsid w:val="0AD16319"/>
    <w:rsid w:val="0AFF4C18"/>
    <w:rsid w:val="0B0953EA"/>
    <w:rsid w:val="0B2E5E80"/>
    <w:rsid w:val="0BEC0911"/>
    <w:rsid w:val="0C090F6F"/>
    <w:rsid w:val="0CBA5C6E"/>
    <w:rsid w:val="0D56215A"/>
    <w:rsid w:val="0D63611C"/>
    <w:rsid w:val="0D8A37EA"/>
    <w:rsid w:val="0D8A5D10"/>
    <w:rsid w:val="0E252718"/>
    <w:rsid w:val="0E2677D3"/>
    <w:rsid w:val="0E531C1A"/>
    <w:rsid w:val="0E7B67D1"/>
    <w:rsid w:val="0E94063F"/>
    <w:rsid w:val="0EAA565C"/>
    <w:rsid w:val="0EAE24E7"/>
    <w:rsid w:val="0EB667F3"/>
    <w:rsid w:val="0EE95CD7"/>
    <w:rsid w:val="0F3137FF"/>
    <w:rsid w:val="0F837E40"/>
    <w:rsid w:val="0FE4318A"/>
    <w:rsid w:val="0FF97F48"/>
    <w:rsid w:val="100C66D3"/>
    <w:rsid w:val="10121155"/>
    <w:rsid w:val="103F7FD9"/>
    <w:rsid w:val="109743F8"/>
    <w:rsid w:val="10E47BBD"/>
    <w:rsid w:val="10E548AE"/>
    <w:rsid w:val="10E64DAD"/>
    <w:rsid w:val="10EB3FEE"/>
    <w:rsid w:val="10F03DC9"/>
    <w:rsid w:val="112D753A"/>
    <w:rsid w:val="11610129"/>
    <w:rsid w:val="11980D00"/>
    <w:rsid w:val="11AE058A"/>
    <w:rsid w:val="121B6CFC"/>
    <w:rsid w:val="124672FD"/>
    <w:rsid w:val="1279177E"/>
    <w:rsid w:val="12D039CE"/>
    <w:rsid w:val="12D512F8"/>
    <w:rsid w:val="13250D15"/>
    <w:rsid w:val="136D51C7"/>
    <w:rsid w:val="13FF0B3D"/>
    <w:rsid w:val="1493453D"/>
    <w:rsid w:val="149E60B7"/>
    <w:rsid w:val="14E17C88"/>
    <w:rsid w:val="15294EAB"/>
    <w:rsid w:val="1541423A"/>
    <w:rsid w:val="15766DAC"/>
    <w:rsid w:val="15912649"/>
    <w:rsid w:val="159C5965"/>
    <w:rsid w:val="15F26685"/>
    <w:rsid w:val="16274B57"/>
    <w:rsid w:val="16374377"/>
    <w:rsid w:val="173D0E24"/>
    <w:rsid w:val="17813042"/>
    <w:rsid w:val="17D967CE"/>
    <w:rsid w:val="17E91C4C"/>
    <w:rsid w:val="182B0B61"/>
    <w:rsid w:val="183C55E3"/>
    <w:rsid w:val="18A4233A"/>
    <w:rsid w:val="18DA68D2"/>
    <w:rsid w:val="192E5FF4"/>
    <w:rsid w:val="195678E2"/>
    <w:rsid w:val="19A21348"/>
    <w:rsid w:val="19C21698"/>
    <w:rsid w:val="1A245106"/>
    <w:rsid w:val="1AAB2412"/>
    <w:rsid w:val="1AAF2289"/>
    <w:rsid w:val="1ABF55FE"/>
    <w:rsid w:val="1ACE3177"/>
    <w:rsid w:val="1ADE1EBC"/>
    <w:rsid w:val="1B2B6992"/>
    <w:rsid w:val="1B2F09CC"/>
    <w:rsid w:val="1B477213"/>
    <w:rsid w:val="1B693ABF"/>
    <w:rsid w:val="1BE60516"/>
    <w:rsid w:val="1BF31C32"/>
    <w:rsid w:val="1BFB4FF6"/>
    <w:rsid w:val="1BFF56FD"/>
    <w:rsid w:val="1C2C2136"/>
    <w:rsid w:val="1C774BB2"/>
    <w:rsid w:val="1C916978"/>
    <w:rsid w:val="1C926996"/>
    <w:rsid w:val="1CB40DF3"/>
    <w:rsid w:val="1CB94AA5"/>
    <w:rsid w:val="1CBE213F"/>
    <w:rsid w:val="1CEA692E"/>
    <w:rsid w:val="1CFD4F23"/>
    <w:rsid w:val="1D6F4365"/>
    <w:rsid w:val="1DB93368"/>
    <w:rsid w:val="1DD377FC"/>
    <w:rsid w:val="1DEB26F1"/>
    <w:rsid w:val="1DFB3BFB"/>
    <w:rsid w:val="1E042909"/>
    <w:rsid w:val="1E6763C2"/>
    <w:rsid w:val="1E727BF8"/>
    <w:rsid w:val="1EB171AC"/>
    <w:rsid w:val="1F1A682C"/>
    <w:rsid w:val="1F3C7A76"/>
    <w:rsid w:val="1F43288A"/>
    <w:rsid w:val="1F5D6C4C"/>
    <w:rsid w:val="20BB3199"/>
    <w:rsid w:val="20C91AC5"/>
    <w:rsid w:val="20D60C99"/>
    <w:rsid w:val="20FA617E"/>
    <w:rsid w:val="20FC2724"/>
    <w:rsid w:val="20FF2F47"/>
    <w:rsid w:val="21224C3D"/>
    <w:rsid w:val="214542F2"/>
    <w:rsid w:val="217943CD"/>
    <w:rsid w:val="21796B40"/>
    <w:rsid w:val="217B76B9"/>
    <w:rsid w:val="21830ED9"/>
    <w:rsid w:val="22186F05"/>
    <w:rsid w:val="2220033E"/>
    <w:rsid w:val="22205344"/>
    <w:rsid w:val="225A4E6A"/>
    <w:rsid w:val="22D23344"/>
    <w:rsid w:val="22DC1687"/>
    <w:rsid w:val="232962BC"/>
    <w:rsid w:val="23895C84"/>
    <w:rsid w:val="23DC3805"/>
    <w:rsid w:val="23E65DC9"/>
    <w:rsid w:val="23F549CE"/>
    <w:rsid w:val="2440432A"/>
    <w:rsid w:val="245E19B7"/>
    <w:rsid w:val="246C1231"/>
    <w:rsid w:val="24D25066"/>
    <w:rsid w:val="2506666C"/>
    <w:rsid w:val="25311DA0"/>
    <w:rsid w:val="25721141"/>
    <w:rsid w:val="258F3313"/>
    <w:rsid w:val="25996923"/>
    <w:rsid w:val="25FA48D3"/>
    <w:rsid w:val="26245B28"/>
    <w:rsid w:val="26271593"/>
    <w:rsid w:val="26CC656A"/>
    <w:rsid w:val="26D24DBF"/>
    <w:rsid w:val="27DF4413"/>
    <w:rsid w:val="27E833CE"/>
    <w:rsid w:val="27EE35D5"/>
    <w:rsid w:val="28B5147B"/>
    <w:rsid w:val="28DD6D50"/>
    <w:rsid w:val="28E70CCE"/>
    <w:rsid w:val="296C4C75"/>
    <w:rsid w:val="2971246B"/>
    <w:rsid w:val="29B2475A"/>
    <w:rsid w:val="29B83F33"/>
    <w:rsid w:val="29CB7F35"/>
    <w:rsid w:val="29F47B52"/>
    <w:rsid w:val="2A546800"/>
    <w:rsid w:val="2A694271"/>
    <w:rsid w:val="2A6F45A8"/>
    <w:rsid w:val="2A9E5091"/>
    <w:rsid w:val="2AC62407"/>
    <w:rsid w:val="2ACF7C34"/>
    <w:rsid w:val="2B116C87"/>
    <w:rsid w:val="2B1704C5"/>
    <w:rsid w:val="2B327F40"/>
    <w:rsid w:val="2BA7339A"/>
    <w:rsid w:val="2BA905DE"/>
    <w:rsid w:val="2BB36D93"/>
    <w:rsid w:val="2C2E5B7E"/>
    <w:rsid w:val="2C660C49"/>
    <w:rsid w:val="2CD11C49"/>
    <w:rsid w:val="2CFB4D9E"/>
    <w:rsid w:val="2D353E8A"/>
    <w:rsid w:val="2D5F258C"/>
    <w:rsid w:val="2D993EB4"/>
    <w:rsid w:val="2DD30E57"/>
    <w:rsid w:val="2E4F02AC"/>
    <w:rsid w:val="2E5009AD"/>
    <w:rsid w:val="2E7C3392"/>
    <w:rsid w:val="2E890E2B"/>
    <w:rsid w:val="2E9F7B7A"/>
    <w:rsid w:val="2EA506FF"/>
    <w:rsid w:val="2EE422D5"/>
    <w:rsid w:val="2F220B3B"/>
    <w:rsid w:val="2F5D15FF"/>
    <w:rsid w:val="2FD114C1"/>
    <w:rsid w:val="2FDA44F7"/>
    <w:rsid w:val="2FFA7309"/>
    <w:rsid w:val="2FFC4E73"/>
    <w:rsid w:val="30091762"/>
    <w:rsid w:val="303C519E"/>
    <w:rsid w:val="306F5DEE"/>
    <w:rsid w:val="30E04DFA"/>
    <w:rsid w:val="31A101EA"/>
    <w:rsid w:val="31B02CA6"/>
    <w:rsid w:val="31C018D5"/>
    <w:rsid w:val="31CE3AA1"/>
    <w:rsid w:val="323F22CB"/>
    <w:rsid w:val="324043EA"/>
    <w:rsid w:val="32AA73C9"/>
    <w:rsid w:val="32C83079"/>
    <w:rsid w:val="33DE5896"/>
    <w:rsid w:val="33E6361F"/>
    <w:rsid w:val="33F17E46"/>
    <w:rsid w:val="34F0546A"/>
    <w:rsid w:val="351E0B99"/>
    <w:rsid w:val="353843D0"/>
    <w:rsid w:val="35387587"/>
    <w:rsid w:val="355F1011"/>
    <w:rsid w:val="35991636"/>
    <w:rsid w:val="35EA1F7D"/>
    <w:rsid w:val="35ED6AAA"/>
    <w:rsid w:val="362F3D70"/>
    <w:rsid w:val="36D53462"/>
    <w:rsid w:val="36F268B4"/>
    <w:rsid w:val="3724413D"/>
    <w:rsid w:val="37A23362"/>
    <w:rsid w:val="37CB4BA6"/>
    <w:rsid w:val="37FE386E"/>
    <w:rsid w:val="385D604B"/>
    <w:rsid w:val="385D708F"/>
    <w:rsid w:val="38AC5AA6"/>
    <w:rsid w:val="38D167E4"/>
    <w:rsid w:val="391D4622"/>
    <w:rsid w:val="392E69D3"/>
    <w:rsid w:val="395153AB"/>
    <w:rsid w:val="3A0C17C7"/>
    <w:rsid w:val="3A237C9A"/>
    <w:rsid w:val="3A91718E"/>
    <w:rsid w:val="3B4A2547"/>
    <w:rsid w:val="3B646979"/>
    <w:rsid w:val="3BC826D4"/>
    <w:rsid w:val="3C22441B"/>
    <w:rsid w:val="3C337593"/>
    <w:rsid w:val="3C8F22E7"/>
    <w:rsid w:val="3CD35EE3"/>
    <w:rsid w:val="3D087629"/>
    <w:rsid w:val="3D3643F4"/>
    <w:rsid w:val="3DBD4FE9"/>
    <w:rsid w:val="3DE90F69"/>
    <w:rsid w:val="3DF4117E"/>
    <w:rsid w:val="3EDF438B"/>
    <w:rsid w:val="3F6F6C96"/>
    <w:rsid w:val="3F823B6A"/>
    <w:rsid w:val="3F922EA8"/>
    <w:rsid w:val="3F9503E1"/>
    <w:rsid w:val="3FA40AF4"/>
    <w:rsid w:val="3FA51C7A"/>
    <w:rsid w:val="3FB75FF8"/>
    <w:rsid w:val="40097D6D"/>
    <w:rsid w:val="409907E3"/>
    <w:rsid w:val="41E01715"/>
    <w:rsid w:val="422217C0"/>
    <w:rsid w:val="42351109"/>
    <w:rsid w:val="428307C1"/>
    <w:rsid w:val="42A87D73"/>
    <w:rsid w:val="43423FF5"/>
    <w:rsid w:val="43FD32F4"/>
    <w:rsid w:val="44B321B9"/>
    <w:rsid w:val="45130E7D"/>
    <w:rsid w:val="451D3C41"/>
    <w:rsid w:val="4580259E"/>
    <w:rsid w:val="45E5604C"/>
    <w:rsid w:val="461F6D84"/>
    <w:rsid w:val="464B47A4"/>
    <w:rsid w:val="46692DF9"/>
    <w:rsid w:val="4708320F"/>
    <w:rsid w:val="47232B15"/>
    <w:rsid w:val="473B7C74"/>
    <w:rsid w:val="475E7F4C"/>
    <w:rsid w:val="477127B4"/>
    <w:rsid w:val="47A90916"/>
    <w:rsid w:val="47BB19EF"/>
    <w:rsid w:val="47D84FCD"/>
    <w:rsid w:val="48A12BF9"/>
    <w:rsid w:val="48C526B3"/>
    <w:rsid w:val="490E0AD7"/>
    <w:rsid w:val="494C45E3"/>
    <w:rsid w:val="49CD737B"/>
    <w:rsid w:val="49DE4078"/>
    <w:rsid w:val="4A226717"/>
    <w:rsid w:val="4A5B400C"/>
    <w:rsid w:val="4A77702E"/>
    <w:rsid w:val="4A842D4E"/>
    <w:rsid w:val="4A84494D"/>
    <w:rsid w:val="4AA030F9"/>
    <w:rsid w:val="4ACF7FF6"/>
    <w:rsid w:val="4B4310F4"/>
    <w:rsid w:val="4B632646"/>
    <w:rsid w:val="4BA2454E"/>
    <w:rsid w:val="4BEF5AA6"/>
    <w:rsid w:val="4C0E077D"/>
    <w:rsid w:val="4CC213A4"/>
    <w:rsid w:val="4CF50C03"/>
    <w:rsid w:val="4D32508D"/>
    <w:rsid w:val="4D836186"/>
    <w:rsid w:val="4DA263AF"/>
    <w:rsid w:val="4E963CE3"/>
    <w:rsid w:val="4EE547D4"/>
    <w:rsid w:val="4F116271"/>
    <w:rsid w:val="4F214126"/>
    <w:rsid w:val="4F65208A"/>
    <w:rsid w:val="4F750F90"/>
    <w:rsid w:val="4F835865"/>
    <w:rsid w:val="4FAD4ABA"/>
    <w:rsid w:val="50B95699"/>
    <w:rsid w:val="50E65BB5"/>
    <w:rsid w:val="51315FA3"/>
    <w:rsid w:val="51516CCF"/>
    <w:rsid w:val="517E486D"/>
    <w:rsid w:val="518B7CFE"/>
    <w:rsid w:val="51A87216"/>
    <w:rsid w:val="524E126F"/>
    <w:rsid w:val="532F11D6"/>
    <w:rsid w:val="5339346C"/>
    <w:rsid w:val="53CE446C"/>
    <w:rsid w:val="53F819A2"/>
    <w:rsid w:val="54347B20"/>
    <w:rsid w:val="546811C9"/>
    <w:rsid w:val="54897A5A"/>
    <w:rsid w:val="54FA46F2"/>
    <w:rsid w:val="551F7D1E"/>
    <w:rsid w:val="554F46D3"/>
    <w:rsid w:val="557B1A5D"/>
    <w:rsid w:val="55DE64AC"/>
    <w:rsid w:val="55EB365A"/>
    <w:rsid w:val="55FD4949"/>
    <w:rsid w:val="55FF7C11"/>
    <w:rsid w:val="564573DF"/>
    <w:rsid w:val="56842B9D"/>
    <w:rsid w:val="56D97B3F"/>
    <w:rsid w:val="570F2B07"/>
    <w:rsid w:val="571363B7"/>
    <w:rsid w:val="58F526E4"/>
    <w:rsid w:val="59153EF1"/>
    <w:rsid w:val="59484FC5"/>
    <w:rsid w:val="59CB372B"/>
    <w:rsid w:val="59F13391"/>
    <w:rsid w:val="5AB23009"/>
    <w:rsid w:val="5AFC7136"/>
    <w:rsid w:val="5AFE1F3A"/>
    <w:rsid w:val="5B0F0EA8"/>
    <w:rsid w:val="5B241B10"/>
    <w:rsid w:val="5B3C12A2"/>
    <w:rsid w:val="5B4041AF"/>
    <w:rsid w:val="5B4A21EB"/>
    <w:rsid w:val="5B980D8B"/>
    <w:rsid w:val="5BD90263"/>
    <w:rsid w:val="5C010128"/>
    <w:rsid w:val="5C5C08A1"/>
    <w:rsid w:val="5C5E396A"/>
    <w:rsid w:val="5C691C18"/>
    <w:rsid w:val="5CC46CCE"/>
    <w:rsid w:val="5CD462A4"/>
    <w:rsid w:val="5CFB6C0C"/>
    <w:rsid w:val="5DE356C5"/>
    <w:rsid w:val="5E0D0CAB"/>
    <w:rsid w:val="5E404EB6"/>
    <w:rsid w:val="5E574A21"/>
    <w:rsid w:val="5E6B4ED9"/>
    <w:rsid w:val="5EE972C4"/>
    <w:rsid w:val="5F391B83"/>
    <w:rsid w:val="5F707EAC"/>
    <w:rsid w:val="600F2D92"/>
    <w:rsid w:val="603D0F24"/>
    <w:rsid w:val="60430E0B"/>
    <w:rsid w:val="608C15DB"/>
    <w:rsid w:val="60A90551"/>
    <w:rsid w:val="61297ADD"/>
    <w:rsid w:val="616705AA"/>
    <w:rsid w:val="616824DD"/>
    <w:rsid w:val="61AD4A34"/>
    <w:rsid w:val="628C71B5"/>
    <w:rsid w:val="63444798"/>
    <w:rsid w:val="63DD50CB"/>
    <w:rsid w:val="6450146B"/>
    <w:rsid w:val="6461551E"/>
    <w:rsid w:val="64742B6C"/>
    <w:rsid w:val="6656760C"/>
    <w:rsid w:val="674007C7"/>
    <w:rsid w:val="6761552F"/>
    <w:rsid w:val="67674063"/>
    <w:rsid w:val="67BD535F"/>
    <w:rsid w:val="67E92422"/>
    <w:rsid w:val="686D77A9"/>
    <w:rsid w:val="688075E6"/>
    <w:rsid w:val="68D01F9D"/>
    <w:rsid w:val="6926316D"/>
    <w:rsid w:val="6A22716C"/>
    <w:rsid w:val="6A4F08B4"/>
    <w:rsid w:val="6A9E4130"/>
    <w:rsid w:val="6AC23C43"/>
    <w:rsid w:val="6ACD5CF3"/>
    <w:rsid w:val="6B090729"/>
    <w:rsid w:val="6B554061"/>
    <w:rsid w:val="6B6A0A07"/>
    <w:rsid w:val="6B924448"/>
    <w:rsid w:val="6BFE77B5"/>
    <w:rsid w:val="6C0613D7"/>
    <w:rsid w:val="6C1803FC"/>
    <w:rsid w:val="6C816527"/>
    <w:rsid w:val="6CD04C5E"/>
    <w:rsid w:val="6CD3180D"/>
    <w:rsid w:val="6CD77230"/>
    <w:rsid w:val="6D206252"/>
    <w:rsid w:val="6D4F64CA"/>
    <w:rsid w:val="6D514AFB"/>
    <w:rsid w:val="6DAA1FC4"/>
    <w:rsid w:val="6DC25B48"/>
    <w:rsid w:val="6DF27D12"/>
    <w:rsid w:val="6E020E42"/>
    <w:rsid w:val="6E59104D"/>
    <w:rsid w:val="6E9B0B96"/>
    <w:rsid w:val="6EBF03AA"/>
    <w:rsid w:val="6F936F0E"/>
    <w:rsid w:val="6FBA4427"/>
    <w:rsid w:val="700F746D"/>
    <w:rsid w:val="70566167"/>
    <w:rsid w:val="705E789F"/>
    <w:rsid w:val="708508D1"/>
    <w:rsid w:val="709D3417"/>
    <w:rsid w:val="70FA0FE4"/>
    <w:rsid w:val="714560E1"/>
    <w:rsid w:val="715E1544"/>
    <w:rsid w:val="716F0558"/>
    <w:rsid w:val="71983F3B"/>
    <w:rsid w:val="71A041DE"/>
    <w:rsid w:val="71A8765E"/>
    <w:rsid w:val="71F20CAD"/>
    <w:rsid w:val="72977A40"/>
    <w:rsid w:val="72A11708"/>
    <w:rsid w:val="72BC622E"/>
    <w:rsid w:val="72F37147"/>
    <w:rsid w:val="72FF24D4"/>
    <w:rsid w:val="7360489E"/>
    <w:rsid w:val="73802E85"/>
    <w:rsid w:val="73820B6F"/>
    <w:rsid w:val="738C5E9F"/>
    <w:rsid w:val="74D2045F"/>
    <w:rsid w:val="74DF487F"/>
    <w:rsid w:val="752A4E45"/>
    <w:rsid w:val="76367917"/>
    <w:rsid w:val="76437686"/>
    <w:rsid w:val="771061D5"/>
    <w:rsid w:val="775C2BCB"/>
    <w:rsid w:val="77A727DC"/>
    <w:rsid w:val="77EF0B92"/>
    <w:rsid w:val="77FB1A5B"/>
    <w:rsid w:val="780F5F24"/>
    <w:rsid w:val="782D123D"/>
    <w:rsid w:val="78F97432"/>
    <w:rsid w:val="791D7EA7"/>
    <w:rsid w:val="79231FF8"/>
    <w:rsid w:val="79C13844"/>
    <w:rsid w:val="7A1C5895"/>
    <w:rsid w:val="7A3D09C9"/>
    <w:rsid w:val="7B1345D6"/>
    <w:rsid w:val="7B5B3F86"/>
    <w:rsid w:val="7B7A4C25"/>
    <w:rsid w:val="7BA724FA"/>
    <w:rsid w:val="7C283CB5"/>
    <w:rsid w:val="7CA71102"/>
    <w:rsid w:val="7CCB255D"/>
    <w:rsid w:val="7D8A1D89"/>
    <w:rsid w:val="7DE071F5"/>
    <w:rsid w:val="7E527CB5"/>
    <w:rsid w:val="7E923ED2"/>
    <w:rsid w:val="7EA62914"/>
    <w:rsid w:val="7EC32256"/>
    <w:rsid w:val="7F742514"/>
    <w:rsid w:val="7F934702"/>
    <w:rsid w:val="7F99679D"/>
    <w:rsid w:val="7FE11102"/>
    <w:rsid w:val="7FE9534E"/>
    <w:rsid w:val="7FF7012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semiHidden="0" w:uiPriority="0" w:qFormat="1"/>
    <w:lsdException w:name="heading 4" w:semiHidden="0"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qFormat="1"/>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1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qFormat="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Heading3"/>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2">
    <w:name w:val="heading 2"/>
    <w:basedOn w:val="Normal"/>
    <w:next w:val="Normal"/>
    <w:semiHidden/>
    <w:unhideWhenUsed/>
    <w:qFormat/>
    <w:pPr>
      <w:numPr>
        <w:ilvl w:val="1"/>
        <w:numId w:val="1"/>
      </w:numPr>
      <w:adjustRightInd w:val="0"/>
      <w:snapToGrid w:val="0"/>
      <w:spacing w:line="560" w:lineRule="exact"/>
      <w:outlineLvl w:val="1"/>
    </w:pPr>
    <w:rPr>
      <w:rFonts w:ascii="楷体_GB2312" w:eastAsia="楷体_GB2312" w:hAnsi="楷体_GB2312" w:cs="楷体_GB2312"/>
      <w:sz w:val="32"/>
      <w:szCs w:val="32"/>
    </w:rPr>
  </w:style>
  <w:style w:type="paragraph" w:styleId="Heading3">
    <w:name w:val="heading 3"/>
    <w:basedOn w:val="Normal"/>
    <w:next w:val="Normal"/>
    <w:unhideWhenUsed/>
    <w:qFormat/>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unhideWhenUsed/>
    <w:qFormat/>
    <w:pPr>
      <w:spacing w:line="560" w:lineRule="exact"/>
      <w:ind w:firstLine="640" w:firstLineChars="200"/>
    </w:pPr>
    <w:rPr>
      <w:rFonts w:ascii="仿宋_GB2312" w:eastAsia="仿宋_GB2312" w:hAnsi="仿宋_GB2312" w:cs="仿宋"/>
      <w:sz w:val="32"/>
      <w:szCs w:val="32"/>
    </w:rPr>
  </w:style>
  <w:style w:type="paragraph" w:styleId="CommentText">
    <w:name w:val="annotation text"/>
    <w:basedOn w:val="Normal"/>
    <w:link w:val="a1"/>
    <w:qFormat/>
    <w:pPr>
      <w:jc w:val="left"/>
    </w:pPr>
  </w:style>
  <w:style w:type="paragraph" w:styleId="BodyText">
    <w:name w:val="Body Text"/>
    <w:basedOn w:val="Normal"/>
    <w:next w:val="Normal"/>
    <w:qFormat/>
    <w:pPr>
      <w:numPr>
        <w:ilvl w:val="0"/>
        <w:numId w:val="2"/>
      </w:numPr>
      <w:spacing w:after="120"/>
    </w:pPr>
    <w:rPr>
      <w:sz w:val="32"/>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NormalWeb">
    <w:name w:val="Normal (Web)"/>
    <w:basedOn w:val="Normal"/>
    <w:qFormat/>
    <w:pPr>
      <w:spacing w:beforeAutospacing="1" w:afterAutospacing="1"/>
      <w:jc w:val="left"/>
    </w:pPr>
    <w:rPr>
      <w:rFonts w:cs="Times New Roman"/>
      <w:kern w:val="0"/>
      <w:sz w:val="24"/>
    </w:rPr>
  </w:style>
  <w:style w:type="paragraph" w:styleId="Title">
    <w:name w:val="Title"/>
    <w:basedOn w:val="Normal"/>
    <w:next w:val="Normal"/>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a2"/>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qFormat/>
    <w:rPr>
      <w:sz w:val="21"/>
      <w:szCs w:val="21"/>
    </w:rPr>
  </w:style>
  <w:style w:type="paragraph" w:customStyle="1" w:styleId="a">
    <w:name w:val="条款"/>
    <w:basedOn w:val="a0"/>
    <w:qFormat/>
    <w:pPr>
      <w:numPr>
        <w:ilvl w:val="0"/>
        <w:numId w:val="3"/>
      </w:numPr>
      <w:tabs>
        <w:tab w:val="clear" w:pos="2422"/>
      </w:tabs>
      <w:spacing w:line="560" w:lineRule="exact"/>
      <w:ind w:left="0" w:firstLine="880" w:firstLineChars="200"/>
      <w:jc w:val="both"/>
    </w:pPr>
    <w:rPr>
      <w:rFonts w:ascii="仿宋_GB2312" w:eastAsia="仿宋_GB2312" w:hAnsi="仿宋_GB2312" w:cs="仿宋"/>
      <w:sz w:val="32"/>
      <w:szCs w:val="32"/>
      <w:lang w:val="zh-CN"/>
    </w:rPr>
  </w:style>
  <w:style w:type="paragraph" w:customStyle="1" w:styleId="a0">
    <w:name w:val="第一条"/>
    <w:basedOn w:val="Normal"/>
    <w:next w:val="NormalIndent"/>
    <w:qFormat/>
    <w:pPr>
      <w:spacing w:line="360" w:lineRule="auto"/>
      <w:jc w:val="center"/>
    </w:pPr>
    <w:rPr>
      <w:rFonts w:hAnsi="宋体"/>
      <w:sz w:val="24"/>
    </w:rPr>
  </w:style>
  <w:style w:type="paragraph" w:customStyle="1" w:styleId="1">
    <w:name w:val="修订1"/>
    <w:hidden/>
    <w:uiPriority w:val="99"/>
    <w:unhideWhenUsed/>
    <w:qFormat/>
    <w:rPr>
      <w:rFonts w:asciiTheme="minorHAnsi" w:eastAsiaTheme="minorEastAsia" w:hAnsiTheme="minorHAnsi" w:cstheme="minorBidi"/>
      <w:kern w:val="2"/>
      <w:sz w:val="21"/>
      <w:szCs w:val="24"/>
      <w:lang w:val="en-US" w:eastAsia="zh-CN" w:bidi="ar-SA"/>
    </w:rPr>
  </w:style>
  <w:style w:type="paragraph" w:customStyle="1" w:styleId="2">
    <w:name w:val="修订2"/>
    <w:hidden/>
    <w:uiPriority w:val="99"/>
    <w:unhideWhenUsed/>
    <w:qFormat/>
    <w:rPr>
      <w:rFonts w:asciiTheme="minorHAnsi" w:eastAsiaTheme="minorEastAsia" w:hAnsiTheme="minorHAnsi" w:cstheme="minorBidi"/>
      <w:kern w:val="2"/>
      <w:sz w:val="21"/>
      <w:szCs w:val="24"/>
      <w:lang w:val="en-US" w:eastAsia="zh-CN" w:bidi="ar-SA"/>
    </w:rPr>
  </w:style>
  <w:style w:type="character" w:customStyle="1" w:styleId="a1">
    <w:name w:val="批注文字 字符"/>
    <w:basedOn w:val="DefaultParagraphFont"/>
    <w:link w:val="CommentText"/>
    <w:qFormat/>
    <w:rPr>
      <w:rFonts w:asciiTheme="minorHAnsi" w:eastAsiaTheme="minorEastAsia" w:hAnsiTheme="minorHAnsi" w:cstheme="minorBidi"/>
      <w:kern w:val="2"/>
      <w:sz w:val="21"/>
      <w:szCs w:val="24"/>
    </w:rPr>
  </w:style>
  <w:style w:type="character" w:customStyle="1" w:styleId="a2">
    <w:name w:val="批注主题 字符"/>
    <w:basedOn w:val="a1"/>
    <w:link w:val="CommentSubject"/>
    <w:qFormat/>
    <w:rPr>
      <w:rFonts w:asciiTheme="minorHAnsi" w:eastAsiaTheme="minorEastAsia" w:hAnsiTheme="minorHAnsi" w:cstheme="minorBidi"/>
      <w:b/>
      <w:bCs/>
      <w:kern w:val="2"/>
      <w:sz w:val="21"/>
      <w:szCs w:val="24"/>
    </w:rPr>
  </w:style>
  <w:style w:type="paragraph" w:customStyle="1" w:styleId="Revision">
    <w:name w:val="Revision"/>
    <w:hidden/>
    <w:uiPriority w:val="99"/>
    <w:unhideWhenUsed/>
    <w:qFormat/>
    <w:rPr>
      <w:rFonts w:asciiTheme="minorHAnsi" w:eastAsiaTheme="minorEastAsia" w:hAnsiTheme="minorHAnsi" w:cstheme="minorBidi"/>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11</Pages>
  <Words>818</Words>
  <Characters>4669</Characters>
  <Application>Microsoft Office Word</Application>
  <DocSecurity>0</DocSecurity>
  <Lines>38</Lines>
  <Paragraphs>10</Paragraphs>
  <ScaleCrop>false</ScaleCrop>
  <Company/>
  <LinksUpToDate>false</LinksUpToDate>
  <CharactersWithSpaces>5477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徐云</dc:creator>
  <cp:lastModifiedBy>交易中心文书</cp:lastModifiedBy>
  <cp:revision>5</cp:revision>
  <cp:lastPrinted>2025-10-22T22:12:00Z</cp:lastPrinted>
  <dcterms:created xsi:type="dcterms:W3CDTF">2025-05-16T18:38:00Z</dcterms:created>
  <dcterms:modified xsi:type="dcterms:W3CDTF">2026-01-27T01:42:08Z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8D73061136804D2C87A7218FACD5AEF6</vt:lpwstr>
  </property>
  <property fmtid="{D5CDD505-2E9C-101B-9397-08002B2CF9AE}" pid="3" name="KSOProductBuildVer">
    <vt:lpwstr>2052-11.8.2.12085</vt:lpwstr>
  </property>
  <property fmtid="{D5CDD505-2E9C-101B-9397-08002B2CF9AE}" pid="4" name="KSOTemplateDocerSaveRecord">
    <vt:lpwstr>eyJoZGlkIjoiYmFjNGI2MWZlZjU1M2YwMGM3ZTgwYmQ5ZTVjNjZkNTMiLCJ1c2VySWQiOiIzMzM2MzkxNDcifQ==</vt:lpwstr>
  </property>
</Properties>
</file>