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方正小标宋_GBK" w:eastAsia="方正小标宋_GBK" w:hAnsi="方正小标宋_GBK" w:cs="方正小标宋_GBK" w:hint="eastAsia"/>
          <w:b w:val="0"/>
          <w:bCs w:val="0"/>
          <w:snapToGrid/>
          <w:color w:val="000000"/>
          <w:spacing w:val="0"/>
          <w:kern w:val="2"/>
          <w:sz w:val="44"/>
          <w:szCs w:val="44"/>
          <w:highlight w:val="none"/>
          <w:lang w:val="en-US" w:eastAsia="zh-CN"/>
        </w:rPr>
      </w:pPr>
      <w:bookmarkStart w:id="0" w:name="_GoBack"/>
      <w:r>
        <w:rPr>
          <w:rFonts w:ascii="黑体" w:eastAsia="黑体" w:hAnsi="黑体" w:cs="黑体" w:hint="eastAsia"/>
          <w:b w:val="0"/>
          <w:bCs w:val="0"/>
          <w:snapToGrid/>
          <w:color w:val="000000"/>
          <w:spacing w:val="0"/>
          <w:kern w:val="2"/>
          <w:sz w:val="32"/>
          <w:szCs w:val="32"/>
          <w:highlight w:val="none"/>
          <w:lang w:val="en-US" w:eastAsia="zh-CN"/>
        </w:rPr>
        <w:t>海南交易〔2026〕8号</w:t>
      </w:r>
      <w:r>
        <w:rPr>
          <w:rFonts w:ascii="黑体" w:eastAsia="黑体" w:hAnsi="黑体" w:cs="黑体" w:hint="eastAsia"/>
          <w:b w:val="0"/>
          <w:bCs w:val="0"/>
          <w:snapToGrid/>
          <w:color w:val="000000"/>
          <w:spacing w:val="0"/>
          <w:kern w:val="2"/>
          <w:sz w:val="32"/>
          <w:szCs w:val="32"/>
          <w:highlight w:val="none"/>
          <w:lang w:val="en-US" w:eastAsia="zh-CN"/>
        </w:rPr>
        <w:t>附件3</w:t>
      </w:r>
      <w:bookmarkEnd w:id="0"/>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方正小标宋_GBK" w:eastAsia="方正小标宋_GBK" w:hAnsi="方正小标宋_GBK" w:cs="方正小标宋_GBK" w:hint="eastAsia"/>
          <w:b w:val="0"/>
          <w:bCs w:val="0"/>
          <w:snapToGrid/>
          <w:color w:val="000000"/>
          <w:spacing w:val="0"/>
          <w:kern w:val="2"/>
          <w:sz w:val="44"/>
          <w:szCs w:val="44"/>
          <w:highlight w:val="none"/>
          <w:lang w:eastAsia="zh-CN"/>
        </w:rPr>
      </w:pP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方正小标宋_GBK" w:eastAsia="方正小标宋_GBK" w:hAnsi="方正小标宋_GBK" w:cs="方正小标宋_GBK" w:hint="eastAsia"/>
          <w:b w:val="0"/>
          <w:bCs w:val="0"/>
          <w:snapToGrid/>
          <w:color w:val="000000"/>
          <w:spacing w:val="0"/>
          <w:kern w:val="2"/>
          <w:sz w:val="44"/>
          <w:szCs w:val="44"/>
          <w:highlight w:val="none"/>
          <w:lang w:eastAsia="zh-CN"/>
        </w:rPr>
      </w:pPr>
      <w:r>
        <w:rPr>
          <w:rFonts w:ascii="方正小标宋_GBK" w:eastAsia="方正小标宋_GBK" w:hAnsi="方正小标宋_GBK" w:cs="方正小标宋_GBK" w:hint="eastAsia"/>
          <w:b w:val="0"/>
          <w:bCs w:val="0"/>
          <w:snapToGrid/>
          <w:color w:val="000000"/>
          <w:spacing w:val="0"/>
          <w:kern w:val="2"/>
          <w:sz w:val="44"/>
          <w:szCs w:val="44"/>
          <w:highlight w:val="none"/>
          <w:lang w:eastAsia="zh-CN"/>
        </w:rPr>
        <w:t>电力市场主体不良行为处理办法</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方正小标宋_GBK" w:eastAsia="方正小标宋_GBK" w:hAnsi="方正小标宋_GBK" w:cs="方正小标宋_GBK" w:hint="default"/>
          <w:b w:val="0"/>
          <w:bCs w:val="0"/>
          <w:snapToGrid/>
          <w:color w:val="000000"/>
          <w:kern w:val="2"/>
          <w:sz w:val="40"/>
          <w:szCs w:val="52"/>
          <w:highlight w:val="none"/>
          <w:lang w:eastAsia="zh-CN"/>
        </w:rPr>
      </w:pPr>
      <w:r>
        <w:rPr>
          <w:rFonts w:ascii="方正小标宋_GBK" w:eastAsia="方正小标宋_GBK" w:hAnsi="方正小标宋_GBK" w:cs="方正小标宋_GBK" w:hint="eastAsia"/>
          <w:b w:val="0"/>
          <w:bCs w:val="0"/>
          <w:snapToGrid/>
          <w:spacing w:val="0"/>
          <w:kern w:val="2"/>
          <w:sz w:val="44"/>
          <w:szCs w:val="44"/>
          <w:highlight w:val="none"/>
          <w:lang w:eastAsia="zh-CN"/>
        </w:rPr>
        <w:t>（</w:t>
      </w:r>
      <w:r>
        <w:rPr>
          <w:rFonts w:ascii="方正小标宋_GBK" w:eastAsia="方正小标宋_GBK" w:hAnsi="方正小标宋_GBK" w:cs="方正小标宋_GBK" w:hint="eastAsia"/>
          <w:b w:val="0"/>
          <w:bCs w:val="0"/>
          <w:snapToGrid/>
          <w:spacing w:val="0"/>
          <w:kern w:val="2"/>
          <w:sz w:val="44"/>
          <w:szCs w:val="44"/>
          <w:highlight w:val="none"/>
          <w:lang w:val="en-US" w:eastAsia="zh-CN"/>
        </w:rPr>
        <w:t>试行）（征求意见稿）</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黑体" w:eastAsia="黑体" w:hAnsi="黑体" w:cs="黑体" w:hint="eastAsia"/>
          <w:b/>
          <w:bCs/>
          <w:color w:val="auto"/>
          <w:spacing w:val="9"/>
          <w:highlight w:val="none"/>
          <w:lang w:val="en-US" w:eastAsia="zh-CN"/>
        </w:rPr>
      </w:pP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仿宋_GB2312" w:eastAsia="仿宋_GB2312" w:hAnsi="仿宋_GB2312" w:cs="仿宋_GB2312" w:hint="default"/>
          <w:b/>
          <w:bCs/>
          <w:color w:val="auto"/>
          <w:spacing w:val="9"/>
          <w:highlight w:val="none"/>
          <w:lang w:val="en-US" w:eastAsia="zh-CN"/>
        </w:rPr>
      </w:pPr>
      <w:r>
        <w:rPr>
          <w:rFonts w:ascii="黑体" w:eastAsia="黑体" w:hAnsi="黑体" w:cs="黑体" w:hint="eastAsia"/>
          <w:b/>
          <w:bCs/>
          <w:color w:val="auto"/>
          <w:spacing w:val="9"/>
          <w:highlight w:val="none"/>
          <w:lang w:val="en-US" w:eastAsia="zh-CN"/>
        </w:rPr>
        <w:t>第一章 总则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9"/>
          <w:sz w:val="32"/>
          <w:szCs w:val="32"/>
          <w:highlight w:val="none"/>
        </w:rPr>
        <w:t>第一条</w:t>
      </w:r>
      <w:r>
        <w:rPr>
          <w:rFonts w:ascii="仿宋_GB2312" w:eastAsia="仿宋_GB2312" w:hAnsi="仿宋_GB2312" w:cs="仿宋_GB2312" w:hint="eastAsia"/>
          <w:b/>
          <w:bCs/>
          <w:color w:val="auto"/>
          <w:spacing w:val="9"/>
          <w:sz w:val="32"/>
          <w:szCs w:val="32"/>
          <w:highlight w:val="none"/>
          <w:lang w:val="en-US" w:eastAsia="zh-CN"/>
        </w:rPr>
        <w:t xml:space="preserve"> </w:t>
      </w:r>
      <w:r>
        <w:rPr>
          <w:rFonts w:ascii="仿宋_GB2312" w:eastAsia="仿宋_GB2312" w:hAnsi="仿宋_GB2312" w:cs="仿宋_GB2312" w:hint="eastAsia"/>
          <w:color w:val="auto"/>
          <w:spacing w:val="9"/>
          <w:sz w:val="32"/>
          <w:szCs w:val="32"/>
          <w:highlight w:val="none"/>
        </w:rPr>
        <w:t>为</w:t>
      </w:r>
      <w:r>
        <w:rPr>
          <w:rFonts w:ascii="仿宋_GB2312" w:eastAsia="仿宋_GB2312" w:hAnsi="仿宋_GB2312" w:cs="仿宋_GB2312" w:hint="eastAsia"/>
          <w:color w:val="auto"/>
          <w:spacing w:val="9"/>
          <w:sz w:val="32"/>
          <w:szCs w:val="32"/>
          <w:highlight w:val="none"/>
          <w:lang w:val="en-US" w:eastAsia="zh-CN"/>
        </w:rPr>
        <w:t>加强电力市场运营监测、</w:t>
      </w:r>
      <w:r>
        <w:rPr>
          <w:rFonts w:ascii="仿宋_GB2312" w:eastAsia="仿宋_GB2312" w:hAnsi="仿宋_GB2312" w:cs="仿宋_GB2312" w:hint="eastAsia"/>
          <w:color w:val="auto"/>
          <w:spacing w:val="9"/>
          <w:sz w:val="32"/>
          <w:szCs w:val="32"/>
          <w:highlight w:val="none"/>
        </w:rPr>
        <w:t>维护</w:t>
      </w:r>
      <w:r>
        <w:rPr>
          <w:rFonts w:ascii="仿宋_GB2312" w:eastAsia="仿宋_GB2312" w:hAnsi="仿宋_GB2312" w:cs="仿宋_GB2312" w:hint="eastAsia"/>
          <w:color w:val="auto"/>
          <w:spacing w:val="9"/>
          <w:sz w:val="32"/>
          <w:szCs w:val="32"/>
          <w:highlight w:val="none"/>
          <w:lang w:eastAsia="zh-CN"/>
        </w:rPr>
        <w:t>海南</w:t>
      </w:r>
      <w:r>
        <w:rPr>
          <w:rFonts w:ascii="仿宋_GB2312" w:eastAsia="仿宋_GB2312" w:hAnsi="仿宋_GB2312" w:cs="仿宋_GB2312" w:hint="eastAsia"/>
          <w:color w:val="auto"/>
          <w:spacing w:val="9"/>
          <w:sz w:val="32"/>
          <w:szCs w:val="32"/>
          <w:highlight w:val="none"/>
        </w:rPr>
        <w:t>电力市场有序运营管理，规范市场</w:t>
      </w:r>
      <w:r>
        <w:rPr>
          <w:rFonts w:ascii="仿宋_GB2312" w:eastAsia="仿宋_GB2312" w:hAnsi="仿宋_GB2312" w:cs="仿宋_GB2312" w:hint="eastAsia"/>
          <w:color w:val="auto"/>
          <w:spacing w:val="5"/>
          <w:sz w:val="32"/>
          <w:szCs w:val="32"/>
          <w:highlight w:val="none"/>
        </w:rPr>
        <w:t>主体的市场行为，保障市场主体的合法权益，</w:t>
      </w:r>
      <w:r>
        <w:rPr>
          <w:rFonts w:ascii="仿宋_GB2312" w:eastAsia="仿宋_GB2312" w:hAnsi="仿宋_GB2312" w:cs="仿宋_GB2312" w:hint="eastAsia"/>
          <w:color w:val="auto"/>
          <w:spacing w:val="5"/>
          <w:sz w:val="32"/>
          <w:szCs w:val="32"/>
          <w:highlight w:val="none"/>
          <w:lang w:val="en-US" w:eastAsia="zh-CN"/>
        </w:rPr>
        <w:t>强化市场</w:t>
      </w:r>
      <w:r>
        <w:rPr>
          <w:rFonts w:ascii="仿宋_GB2312" w:eastAsia="仿宋_GB2312" w:hAnsi="仿宋_GB2312" w:cs="仿宋_GB2312" w:hint="eastAsia"/>
          <w:color w:val="auto"/>
          <w:spacing w:val="5"/>
          <w:sz w:val="32"/>
          <w:szCs w:val="32"/>
          <w:highlight w:val="none"/>
        </w:rPr>
        <w:t>自律</w:t>
      </w:r>
      <w:r>
        <w:rPr>
          <w:rFonts w:ascii="仿宋_GB2312" w:eastAsia="仿宋_GB2312" w:hAnsi="仿宋_GB2312" w:cs="仿宋_GB2312" w:hint="eastAsia"/>
          <w:color w:val="auto"/>
          <w:spacing w:val="4"/>
          <w:sz w:val="32"/>
          <w:szCs w:val="32"/>
          <w:highlight w:val="none"/>
        </w:rPr>
        <w:t>管理，根据《电力监管条例》《电力市场运行基本规则》《电力市场监管办法》等有关规定，制定本办法。</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1"/>
          <w:sz w:val="32"/>
          <w:szCs w:val="32"/>
          <w:highlight w:val="none"/>
        </w:rPr>
        <w:t>第二条</w:t>
      </w:r>
      <w:r>
        <w:rPr>
          <w:rFonts w:ascii="仿宋_GB2312" w:eastAsia="仿宋_GB2312" w:hAnsi="仿宋_GB2312" w:cs="仿宋_GB2312" w:hint="eastAsia"/>
          <w:b/>
          <w:bCs/>
          <w:color w:val="auto"/>
          <w:spacing w:val="11"/>
          <w:sz w:val="32"/>
          <w:szCs w:val="32"/>
          <w:highlight w:val="none"/>
          <w:lang w:val="en-US" w:eastAsia="zh-CN"/>
        </w:rPr>
        <w:t xml:space="preserve"> </w:t>
      </w:r>
      <w:r>
        <w:rPr>
          <w:rFonts w:ascii="仿宋_GB2312" w:eastAsia="仿宋_GB2312" w:hAnsi="仿宋_GB2312" w:cs="仿宋_GB2312" w:hint="eastAsia"/>
          <w:color w:val="auto"/>
          <w:spacing w:val="11"/>
          <w:sz w:val="32"/>
          <w:szCs w:val="32"/>
          <w:highlight w:val="none"/>
        </w:rPr>
        <w:t>本办法所称不良行为，是指</w:t>
      </w:r>
      <w:r>
        <w:rPr>
          <w:rFonts w:ascii="仿宋_GB2312" w:eastAsia="仿宋_GB2312" w:hAnsi="仿宋_GB2312" w:cs="仿宋_GB2312" w:hint="eastAsia"/>
          <w:color w:val="auto"/>
          <w:spacing w:val="11"/>
          <w:sz w:val="32"/>
          <w:szCs w:val="32"/>
          <w:highlight w:val="none"/>
          <w:lang w:eastAsia="zh-CN"/>
        </w:rPr>
        <w:t>海南</w:t>
      </w:r>
      <w:r>
        <w:rPr>
          <w:rFonts w:ascii="仿宋_GB2312" w:eastAsia="仿宋_GB2312" w:hAnsi="仿宋_GB2312" w:cs="仿宋_GB2312" w:hint="eastAsia"/>
          <w:color w:val="auto"/>
          <w:spacing w:val="11"/>
          <w:sz w:val="32"/>
          <w:szCs w:val="32"/>
          <w:highlight w:val="none"/>
        </w:rPr>
        <w:t>电力市场主体</w:t>
      </w:r>
      <w:r>
        <w:rPr>
          <w:rFonts w:ascii="仿宋_GB2312" w:eastAsia="仿宋_GB2312" w:hAnsi="仿宋_GB2312" w:cs="仿宋_GB2312" w:hint="eastAsia"/>
          <w:color w:val="auto"/>
          <w:spacing w:val="22"/>
          <w:sz w:val="32"/>
          <w:szCs w:val="32"/>
          <w:highlight w:val="none"/>
        </w:rPr>
        <w:t>及其从业人员违反</w:t>
      </w:r>
      <w:r>
        <w:rPr>
          <w:rFonts w:ascii="仿宋_GB2312" w:eastAsia="仿宋_GB2312" w:hAnsi="仿宋_GB2312" w:cs="仿宋_GB2312" w:hint="eastAsia"/>
          <w:color w:val="auto"/>
          <w:spacing w:val="22"/>
          <w:sz w:val="32"/>
          <w:szCs w:val="32"/>
          <w:highlight w:val="none"/>
          <w:lang w:val="en-US" w:eastAsia="zh-CN"/>
        </w:rPr>
        <w:t>国家电力市场相关规定、</w:t>
      </w:r>
      <w:r>
        <w:rPr>
          <w:rFonts w:ascii="仿宋_GB2312" w:eastAsia="仿宋_GB2312" w:hAnsi="仿宋_GB2312" w:cs="仿宋_GB2312" w:hint="eastAsia"/>
          <w:color w:val="auto"/>
          <w:spacing w:val="4"/>
          <w:sz w:val="32"/>
          <w:szCs w:val="32"/>
          <w:highlight w:val="none"/>
          <w:lang w:eastAsia="zh-CN"/>
        </w:rPr>
        <w:t>海南</w:t>
      </w:r>
      <w:r>
        <w:rPr>
          <w:rFonts w:ascii="仿宋_GB2312" w:eastAsia="仿宋_GB2312" w:hAnsi="仿宋_GB2312" w:cs="仿宋_GB2312" w:hint="eastAsia"/>
          <w:color w:val="auto"/>
          <w:spacing w:val="4"/>
          <w:sz w:val="32"/>
          <w:szCs w:val="32"/>
          <w:highlight w:val="none"/>
        </w:rPr>
        <w:t>电力交易中心（以下简称</w:t>
      </w:r>
      <w:r>
        <w:rPr>
          <w:rFonts w:ascii="仿宋_GB2312" w:eastAsia="仿宋_GB2312" w:hAnsi="仿宋_GB2312" w:cs="仿宋_GB2312" w:hint="eastAsia"/>
          <w:color w:val="auto"/>
          <w:spacing w:val="4"/>
          <w:sz w:val="32"/>
          <w:szCs w:val="32"/>
          <w:highlight w:val="none"/>
          <w:lang w:eastAsia="zh-CN"/>
        </w:rPr>
        <w:t>“</w:t>
      </w:r>
      <w:r>
        <w:rPr>
          <w:rFonts w:ascii="仿宋_GB2312" w:eastAsia="仿宋_GB2312" w:hAnsi="仿宋_GB2312" w:cs="仿宋_GB2312" w:hint="eastAsia"/>
          <w:color w:val="auto"/>
          <w:spacing w:val="4"/>
          <w:sz w:val="32"/>
          <w:szCs w:val="32"/>
          <w:highlight w:val="none"/>
        </w:rPr>
        <w:t>交易</w:t>
      </w:r>
      <w:r>
        <w:rPr>
          <w:rFonts w:ascii="仿宋_GB2312" w:eastAsia="仿宋_GB2312" w:hAnsi="仿宋_GB2312" w:cs="仿宋_GB2312" w:hint="eastAsia"/>
          <w:color w:val="auto"/>
          <w:spacing w:val="3"/>
          <w:sz w:val="32"/>
          <w:szCs w:val="32"/>
          <w:highlight w:val="none"/>
        </w:rPr>
        <w:t>中心</w:t>
      </w:r>
      <w:r>
        <w:rPr>
          <w:rFonts w:ascii="仿宋_GB2312" w:eastAsia="仿宋_GB2312" w:hAnsi="仿宋_GB2312" w:cs="仿宋_GB2312" w:hint="eastAsia"/>
          <w:color w:val="auto"/>
          <w:spacing w:val="3"/>
          <w:sz w:val="32"/>
          <w:szCs w:val="32"/>
          <w:highlight w:val="none"/>
          <w:lang w:eastAsia="zh-CN"/>
        </w:rPr>
        <w:t>”</w:t>
      </w:r>
      <w:r>
        <w:rPr>
          <w:rFonts w:ascii="仿宋_GB2312" w:eastAsia="仿宋_GB2312" w:hAnsi="仿宋_GB2312" w:cs="仿宋_GB2312" w:hint="eastAsia"/>
          <w:color w:val="auto"/>
          <w:spacing w:val="3"/>
          <w:sz w:val="32"/>
          <w:szCs w:val="32"/>
          <w:highlight w:val="none"/>
        </w:rPr>
        <w:t>）</w:t>
      </w:r>
      <w:r>
        <w:rPr>
          <w:rFonts w:ascii="仿宋_GB2312" w:eastAsia="仿宋_GB2312" w:hAnsi="仿宋_GB2312" w:cs="仿宋_GB2312" w:hint="eastAsia"/>
          <w:color w:val="auto"/>
          <w:spacing w:val="21"/>
          <w:sz w:val="32"/>
          <w:szCs w:val="32"/>
          <w:highlight w:val="none"/>
        </w:rPr>
        <w:t>发布的</w:t>
      </w:r>
      <w:r>
        <w:rPr>
          <w:rFonts w:ascii="仿宋_GB2312" w:eastAsia="仿宋_GB2312" w:hAnsi="仿宋_GB2312" w:cs="仿宋_GB2312" w:hint="eastAsia"/>
          <w:color w:val="auto"/>
          <w:spacing w:val="21"/>
          <w:sz w:val="32"/>
          <w:szCs w:val="32"/>
          <w:highlight w:val="none"/>
          <w:lang w:val="en-US" w:eastAsia="zh-CN"/>
        </w:rPr>
        <w:t>市场</w:t>
      </w:r>
      <w:r>
        <w:rPr>
          <w:rFonts w:ascii="仿宋_GB2312" w:eastAsia="仿宋_GB2312" w:hAnsi="仿宋_GB2312" w:cs="仿宋_GB2312" w:hint="eastAsia"/>
          <w:color w:val="auto"/>
          <w:spacing w:val="21"/>
          <w:sz w:val="32"/>
          <w:szCs w:val="32"/>
          <w:highlight w:val="none"/>
        </w:rPr>
        <w:t>规则</w:t>
      </w:r>
      <w:r>
        <w:rPr>
          <w:rFonts w:ascii="仿宋_GB2312" w:eastAsia="仿宋_GB2312" w:hAnsi="仿宋_GB2312" w:cs="仿宋_GB2312" w:hint="eastAsia"/>
          <w:color w:val="auto"/>
          <w:spacing w:val="21"/>
          <w:sz w:val="32"/>
          <w:szCs w:val="32"/>
          <w:highlight w:val="none"/>
          <w:lang w:val="en-US" w:eastAsia="zh-CN"/>
        </w:rPr>
        <w:t>和规范</w:t>
      </w:r>
      <w:r>
        <w:rPr>
          <w:rFonts w:ascii="仿宋_GB2312" w:eastAsia="仿宋_GB2312" w:hAnsi="仿宋_GB2312" w:cs="仿宋_GB2312" w:hint="eastAsia"/>
          <w:color w:val="auto"/>
          <w:spacing w:val="8"/>
          <w:sz w:val="32"/>
          <w:szCs w:val="32"/>
          <w:highlight w:val="none"/>
        </w:rPr>
        <w:t>、违背入市承诺</w:t>
      </w:r>
      <w:r>
        <w:rPr>
          <w:rFonts w:ascii="仿宋_GB2312" w:eastAsia="仿宋_GB2312" w:hAnsi="仿宋_GB2312" w:cs="仿宋_GB2312" w:hint="eastAsia"/>
          <w:color w:val="auto"/>
          <w:spacing w:val="8"/>
          <w:sz w:val="32"/>
          <w:szCs w:val="32"/>
          <w:highlight w:val="none"/>
          <w:lang w:eastAsia="zh-CN"/>
        </w:rPr>
        <w:t>、</w:t>
      </w:r>
      <w:r>
        <w:rPr>
          <w:rFonts w:ascii="仿宋_GB2312" w:eastAsia="仿宋_GB2312" w:hAnsi="仿宋_GB2312" w:cs="仿宋_GB2312" w:hint="eastAsia"/>
          <w:color w:val="auto"/>
          <w:spacing w:val="8"/>
          <w:sz w:val="32"/>
          <w:szCs w:val="32"/>
          <w:highlight w:val="none"/>
          <w:lang w:val="en-US" w:eastAsia="zh-CN"/>
        </w:rPr>
        <w:t>自律公约、损害市场公共利益</w:t>
      </w:r>
      <w:r>
        <w:rPr>
          <w:rFonts w:ascii="仿宋_GB2312" w:eastAsia="仿宋_GB2312" w:hAnsi="仿宋_GB2312" w:cs="仿宋_GB2312" w:hint="eastAsia"/>
          <w:color w:val="auto"/>
          <w:spacing w:val="8"/>
          <w:sz w:val="32"/>
          <w:szCs w:val="32"/>
          <w:highlight w:val="none"/>
        </w:rPr>
        <w:t>以及其他扰乱电力市场交易正常</w:t>
      </w:r>
      <w:r>
        <w:rPr>
          <w:rFonts w:ascii="仿宋_GB2312" w:eastAsia="仿宋_GB2312" w:hAnsi="仿宋_GB2312" w:cs="仿宋_GB2312" w:hint="eastAsia"/>
          <w:color w:val="auto"/>
          <w:spacing w:val="6"/>
          <w:sz w:val="32"/>
          <w:szCs w:val="32"/>
          <w:highlight w:val="none"/>
        </w:rPr>
        <w:t>秩序的行为。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1"/>
          <w:sz w:val="32"/>
          <w:szCs w:val="32"/>
          <w:highlight w:val="none"/>
        </w:rPr>
        <w:t>第三条</w:t>
      </w:r>
      <w:r>
        <w:rPr>
          <w:rFonts w:ascii="仿宋_GB2312" w:eastAsia="仿宋_GB2312" w:hAnsi="仿宋_GB2312" w:cs="仿宋_GB2312" w:hint="eastAsia"/>
          <w:b/>
          <w:bCs/>
          <w:color w:val="auto"/>
          <w:spacing w:val="11"/>
          <w:sz w:val="32"/>
          <w:szCs w:val="32"/>
          <w:highlight w:val="none"/>
          <w:lang w:val="en-US" w:eastAsia="zh-CN"/>
        </w:rPr>
        <w:t xml:space="preserve"> </w:t>
      </w:r>
      <w:r>
        <w:rPr>
          <w:rFonts w:ascii="仿宋_GB2312" w:eastAsia="仿宋_GB2312" w:hAnsi="仿宋_GB2312" w:cs="仿宋_GB2312" w:hint="eastAsia"/>
          <w:color w:val="auto"/>
          <w:spacing w:val="11"/>
          <w:sz w:val="32"/>
          <w:szCs w:val="32"/>
          <w:highlight w:val="none"/>
        </w:rPr>
        <w:t>电力市场不良行为自律管理应当与行政监管相</w:t>
      </w:r>
      <w:r>
        <w:rPr>
          <w:rFonts w:ascii="仿宋_GB2312" w:eastAsia="仿宋_GB2312" w:hAnsi="仿宋_GB2312" w:cs="仿宋_GB2312" w:hint="eastAsia"/>
          <w:color w:val="auto"/>
          <w:spacing w:val="5"/>
          <w:sz w:val="32"/>
          <w:szCs w:val="32"/>
          <w:highlight w:val="none"/>
        </w:rPr>
        <w:t>衔接协调，接受政府主管部门和能源监管机构的监督指导。</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2"/>
          <w:sz w:val="32"/>
          <w:szCs w:val="32"/>
          <w:highlight w:val="none"/>
        </w:rPr>
      </w:pPr>
      <w:r>
        <w:rPr>
          <w:rFonts w:ascii="仿宋_GB2312" w:eastAsia="仿宋_GB2312" w:hAnsi="仿宋_GB2312" w:cs="仿宋_GB2312" w:hint="eastAsia"/>
          <w:b/>
          <w:bCs/>
          <w:color w:val="auto"/>
          <w:spacing w:val="13"/>
          <w:sz w:val="32"/>
          <w:szCs w:val="32"/>
          <w:highlight w:val="none"/>
        </w:rPr>
        <w:t>第四条</w:t>
      </w:r>
      <w:r>
        <w:rPr>
          <w:rFonts w:ascii="仿宋_GB2312" w:eastAsia="仿宋_GB2312" w:hAnsi="仿宋_GB2312" w:cs="仿宋_GB2312" w:hint="eastAsia"/>
          <w:b/>
          <w:bCs/>
          <w:color w:val="auto"/>
          <w:spacing w:val="13"/>
          <w:sz w:val="32"/>
          <w:szCs w:val="32"/>
          <w:highlight w:val="none"/>
          <w:lang w:val="en-US" w:eastAsia="zh-CN"/>
        </w:rPr>
        <w:t xml:space="preserve"> </w:t>
      </w:r>
      <w:r>
        <w:rPr>
          <w:rFonts w:ascii="仿宋_GB2312" w:eastAsia="仿宋_GB2312" w:hAnsi="仿宋_GB2312" w:cs="仿宋_GB2312" w:hint="eastAsia"/>
          <w:color w:val="auto"/>
          <w:spacing w:val="2"/>
          <w:sz w:val="32"/>
          <w:szCs w:val="32"/>
          <w:highlight w:val="none"/>
        </w:rPr>
        <w:t>本办法适用</w:t>
      </w:r>
      <w:r>
        <w:rPr>
          <w:rFonts w:ascii="仿宋_GB2312" w:eastAsia="仿宋_GB2312" w:hAnsi="仿宋_GB2312" w:cs="仿宋_GB2312" w:hint="eastAsia"/>
          <w:color w:val="auto"/>
          <w:spacing w:val="13"/>
          <w:sz w:val="32"/>
          <w:szCs w:val="32"/>
          <w:highlight w:val="none"/>
        </w:rPr>
        <w:t>对市场主体及其从业人员从事交易中心组织的</w:t>
      </w:r>
      <w:r>
        <w:rPr>
          <w:rFonts w:ascii="仿宋_GB2312" w:eastAsia="仿宋_GB2312" w:hAnsi="仿宋_GB2312" w:cs="仿宋_GB2312" w:hint="eastAsia"/>
          <w:color w:val="auto"/>
          <w:spacing w:val="3"/>
          <w:sz w:val="32"/>
          <w:szCs w:val="32"/>
          <w:highlight w:val="none"/>
        </w:rPr>
        <w:t>电力市场相关业务活动出现不良行为的处理</w:t>
      </w:r>
      <w:r>
        <w:rPr>
          <w:rFonts w:ascii="仿宋_GB2312" w:eastAsia="仿宋_GB2312" w:hAnsi="仿宋_GB2312" w:cs="仿宋_GB2312" w:hint="eastAsia"/>
          <w:color w:val="auto"/>
          <w:spacing w:val="2"/>
          <w:sz w:val="32"/>
          <w:szCs w:val="32"/>
          <w:highlight w:val="none"/>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仿宋_GB2312" w:eastAsia="仿宋_GB2312" w:hAnsi="仿宋_GB2312" w:cs="仿宋_GB2312" w:hint="default"/>
          <w:color w:val="auto"/>
          <w:spacing w:val="2"/>
          <w:sz w:val="32"/>
          <w:szCs w:val="32"/>
          <w:highlight w:val="none"/>
          <w:lang w:val="en-US"/>
        </w:rPr>
      </w:pPr>
      <w:r>
        <w:rPr>
          <w:rFonts w:ascii="黑体" w:eastAsia="黑体" w:hAnsi="黑体" w:cs="黑体" w:hint="eastAsia"/>
          <w:b/>
          <w:bCs/>
          <w:color w:val="auto"/>
          <w:spacing w:val="9"/>
          <w:sz w:val="32"/>
          <w:szCs w:val="32"/>
          <w:highlight w:val="none"/>
          <w:lang w:val="en-US" w:eastAsia="zh-CN"/>
        </w:rPr>
        <w:t>第二章 不良行为类型</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第五条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市场主体及其从业人员有下列违反市场注册管</w:t>
      </w:r>
      <w:r>
        <w:rPr>
          <w:rFonts w:ascii="仿宋_GB2312" w:eastAsia="仿宋_GB2312" w:hAnsi="仿宋_GB2312" w:cs="仿宋_GB2312" w:hint="eastAsia"/>
          <w:color w:val="auto"/>
          <w:spacing w:val="4"/>
          <w:sz w:val="32"/>
          <w:szCs w:val="32"/>
          <w:highlight w:val="none"/>
        </w:rPr>
        <w:t>理规定行为之一的，可按不良行为处理：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rPr>
        <w:t>（一）</w:t>
      </w:r>
      <w:r>
        <w:rPr>
          <w:rFonts w:ascii="仿宋_GB2312" w:eastAsia="仿宋_GB2312" w:hAnsi="仿宋_GB2312" w:cs="仿宋_GB2312" w:hint="eastAsia"/>
          <w:color w:val="auto"/>
          <w:spacing w:val="-3"/>
          <w:sz w:val="32"/>
          <w:szCs w:val="32"/>
          <w:highlight w:val="none"/>
          <w:lang w:val="en-US" w:eastAsia="zh-CN"/>
        </w:rPr>
        <w:t>未经授权</w:t>
      </w:r>
      <w:r>
        <w:rPr>
          <w:rFonts w:ascii="仿宋_GB2312" w:eastAsia="仿宋_GB2312" w:hAnsi="仿宋_GB2312" w:cs="仿宋_GB2312" w:hint="eastAsia"/>
          <w:color w:val="auto"/>
          <w:spacing w:val="-3"/>
          <w:sz w:val="32"/>
          <w:szCs w:val="32"/>
          <w:highlight w:val="none"/>
        </w:rPr>
        <w:t>，替他人办理市场注册手续；</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（二）通过虚假宣传，诱导、误导他人办理市场注册手</w:t>
      </w:r>
      <w:r>
        <w:rPr>
          <w:rFonts w:ascii="仿宋_GB2312" w:eastAsia="仿宋_GB2312" w:hAnsi="仿宋_GB2312" w:cs="仿宋_GB2312" w:hint="eastAsia"/>
          <w:color w:val="auto"/>
          <w:spacing w:val="-7"/>
          <w:sz w:val="32"/>
          <w:szCs w:val="32"/>
          <w:highlight w:val="none"/>
        </w:rPr>
        <w:t>续；</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（三）</w:t>
      </w:r>
      <w:r>
        <w:rPr>
          <w:rFonts w:ascii="仿宋_GB2312" w:eastAsia="仿宋_GB2312" w:hAnsi="仿宋_GB2312" w:cs="仿宋_GB2312" w:hint="eastAsia"/>
          <w:color w:val="auto"/>
          <w:spacing w:val="2"/>
          <w:sz w:val="32"/>
          <w:szCs w:val="32"/>
          <w:highlight w:val="none"/>
        </w:rPr>
        <w:t>办理市场注册手续过程中提供虚假或伪造注册信</w:t>
      </w:r>
      <w:r>
        <w:rPr>
          <w:rFonts w:ascii="仿宋_GB2312" w:eastAsia="仿宋_GB2312" w:hAnsi="仿宋_GB2312" w:cs="仿宋_GB2312" w:hint="eastAsia"/>
          <w:color w:val="auto"/>
          <w:spacing w:val="8"/>
          <w:sz w:val="32"/>
          <w:szCs w:val="32"/>
          <w:highlight w:val="none"/>
        </w:rPr>
        <w:t>息和资料</w:t>
      </w:r>
      <w:r>
        <w:rPr>
          <w:rFonts w:ascii="仿宋_GB2312" w:eastAsia="仿宋_GB2312" w:hAnsi="仿宋_GB2312" w:cs="仿宋_GB2312" w:hint="eastAsia"/>
          <w:color w:val="auto"/>
          <w:spacing w:val="-70"/>
          <w:sz w:val="32"/>
          <w:szCs w:val="32"/>
          <w:highlight w:val="none"/>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（四）</w:t>
      </w:r>
      <w:r>
        <w:rPr>
          <w:rFonts w:ascii="仿宋_GB2312" w:eastAsia="仿宋_GB2312" w:hAnsi="仿宋_GB2312" w:cs="仿宋_GB2312" w:hint="eastAsia"/>
          <w:color w:val="auto"/>
          <w:sz w:val="32"/>
          <w:szCs w:val="32"/>
          <w:highlight w:val="none"/>
        </w:rPr>
        <w:t>与相关市场主体具有实际控制关系，但不如实填</w:t>
      </w:r>
      <w:r>
        <w:rPr>
          <w:rFonts w:ascii="仿宋_GB2312" w:eastAsia="仿宋_GB2312" w:hAnsi="仿宋_GB2312" w:cs="仿宋_GB2312" w:hint="eastAsia"/>
          <w:color w:val="auto"/>
          <w:spacing w:val="5"/>
          <w:sz w:val="32"/>
          <w:szCs w:val="32"/>
          <w:highlight w:val="none"/>
        </w:rPr>
        <w:t>报市场注册信息；</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（五）</w:t>
      </w:r>
      <w:r>
        <w:rPr>
          <w:rFonts w:ascii="仿宋_GB2312" w:eastAsia="仿宋_GB2312" w:hAnsi="仿宋_GB2312" w:cs="仿宋_GB2312" w:hint="eastAsia"/>
          <w:color w:val="auto"/>
          <w:spacing w:val="-1"/>
          <w:sz w:val="32"/>
          <w:szCs w:val="32"/>
          <w:highlight w:val="none"/>
        </w:rPr>
        <w:t>注册信息发生变化，不如实、及时向交易中心申</w:t>
      </w:r>
      <w:r>
        <w:rPr>
          <w:rFonts w:ascii="仿宋_GB2312" w:eastAsia="仿宋_GB2312" w:hAnsi="仿宋_GB2312" w:cs="仿宋_GB2312" w:hint="eastAsia"/>
          <w:color w:val="auto"/>
          <w:spacing w:val="7"/>
          <w:sz w:val="32"/>
          <w:szCs w:val="32"/>
          <w:highlight w:val="none"/>
        </w:rPr>
        <w:t>请办理注册变更；</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（六）违反</w:t>
      </w:r>
      <w:r>
        <w:rPr>
          <w:rFonts w:ascii="仿宋_GB2312" w:eastAsia="仿宋_GB2312" w:hAnsi="仿宋_GB2312" w:cs="仿宋_GB2312" w:hint="eastAsia"/>
          <w:color w:val="auto"/>
          <w:spacing w:val="2"/>
          <w:sz w:val="32"/>
          <w:szCs w:val="32"/>
          <w:highlight w:val="none"/>
          <w:lang w:val="en-US" w:eastAsia="zh-CN"/>
        </w:rPr>
        <w:t>国家法律法规、</w:t>
      </w:r>
      <w:r>
        <w:rPr>
          <w:rFonts w:ascii="仿宋_GB2312" w:eastAsia="仿宋_GB2312" w:hAnsi="仿宋_GB2312" w:cs="仿宋_GB2312" w:hint="eastAsia"/>
          <w:color w:val="auto"/>
          <w:spacing w:val="2"/>
          <w:sz w:val="32"/>
          <w:szCs w:val="32"/>
          <w:highlight w:val="none"/>
        </w:rPr>
        <w:t>市场注册管理规定的</w:t>
      </w:r>
      <w:r>
        <w:rPr>
          <w:rFonts w:ascii="仿宋_GB2312" w:eastAsia="仿宋_GB2312" w:hAnsi="仿宋_GB2312" w:cs="仿宋_GB2312" w:hint="eastAsia"/>
          <w:color w:val="auto"/>
          <w:spacing w:val="6"/>
          <w:sz w:val="32"/>
          <w:szCs w:val="32"/>
          <w:highlight w:val="none"/>
        </w:rPr>
        <w:t>其他不良行为。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9"/>
          <w:sz w:val="32"/>
          <w:szCs w:val="32"/>
          <w:highlight w:val="none"/>
        </w:rPr>
        <w:t>第六条</w:t>
      </w:r>
      <w:r>
        <w:rPr>
          <w:rFonts w:ascii="仿宋_GB2312" w:eastAsia="仿宋_GB2312" w:hAnsi="仿宋_GB2312" w:cs="仿宋_GB2312" w:hint="eastAsia"/>
          <w:b/>
          <w:bCs/>
          <w:color w:val="auto"/>
          <w:spacing w:val="9"/>
          <w:sz w:val="32"/>
          <w:szCs w:val="32"/>
          <w:highlight w:val="none"/>
          <w:lang w:val="en-US" w:eastAsia="zh-CN"/>
        </w:rPr>
        <w:t xml:space="preserve"> </w:t>
      </w:r>
      <w:r>
        <w:rPr>
          <w:rFonts w:ascii="仿宋_GB2312" w:eastAsia="仿宋_GB2312" w:hAnsi="仿宋_GB2312" w:cs="仿宋_GB2312" w:hint="eastAsia"/>
          <w:color w:val="auto"/>
          <w:spacing w:val="9"/>
          <w:sz w:val="32"/>
          <w:szCs w:val="32"/>
          <w:highlight w:val="none"/>
        </w:rPr>
        <w:t>发电企业、售电公司、批发电力用户</w:t>
      </w:r>
      <w:r>
        <w:rPr>
          <w:rFonts w:ascii="仿宋_GB2312" w:eastAsia="仿宋_GB2312" w:hAnsi="仿宋_GB2312" w:cs="仿宋_GB2312" w:hint="eastAsia"/>
          <w:color w:val="auto"/>
          <w:spacing w:val="9"/>
          <w:sz w:val="32"/>
          <w:szCs w:val="32"/>
          <w:highlight w:val="none"/>
          <w:lang w:val="en-US" w:eastAsia="zh-CN"/>
        </w:rPr>
        <w:t>和新型经营主体</w:t>
      </w:r>
      <w:r>
        <w:rPr>
          <w:rFonts w:ascii="仿宋_GB2312" w:eastAsia="仿宋_GB2312" w:hAnsi="仿宋_GB2312" w:cs="仿宋_GB2312" w:hint="eastAsia"/>
          <w:color w:val="auto"/>
          <w:spacing w:val="11"/>
          <w:sz w:val="32"/>
          <w:szCs w:val="32"/>
          <w:highlight w:val="none"/>
          <w:lang w:val="en-US" w:eastAsia="zh-CN"/>
        </w:rPr>
        <w:t>存在</w:t>
      </w:r>
      <w:r>
        <w:rPr>
          <w:rFonts w:ascii="仿宋_GB2312" w:eastAsia="仿宋_GB2312" w:hAnsi="仿宋_GB2312" w:cs="仿宋_GB2312" w:hint="eastAsia"/>
          <w:color w:val="auto"/>
          <w:spacing w:val="9"/>
          <w:sz w:val="32"/>
          <w:szCs w:val="32"/>
          <w:highlight w:val="none"/>
        </w:rPr>
        <w:t>下列</w:t>
      </w:r>
      <w:r>
        <w:rPr>
          <w:rFonts w:ascii="仿宋_GB2312" w:eastAsia="仿宋_GB2312" w:hAnsi="仿宋_GB2312" w:cs="仿宋_GB2312" w:hint="eastAsia"/>
          <w:color w:val="auto"/>
          <w:spacing w:val="5"/>
          <w:sz w:val="32"/>
          <w:szCs w:val="32"/>
          <w:highlight w:val="none"/>
          <w:lang w:val="en-US" w:eastAsia="zh-CN"/>
        </w:rPr>
        <w:t>批发交易相关规定</w:t>
      </w:r>
      <w:r>
        <w:rPr>
          <w:rFonts w:ascii="仿宋_GB2312" w:eastAsia="仿宋_GB2312" w:hAnsi="仿宋_GB2312" w:cs="仿宋_GB2312" w:hint="eastAsia"/>
          <w:color w:val="auto"/>
          <w:spacing w:val="5"/>
          <w:sz w:val="32"/>
          <w:szCs w:val="32"/>
          <w:highlight w:val="none"/>
        </w:rPr>
        <w:t>行为之一的，可按不良行为处理：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（一）经法院判决或仲裁机构裁决，认定存在批发</w:t>
      </w:r>
      <w:r>
        <w:rPr>
          <w:rFonts w:ascii="仿宋_GB2312" w:eastAsia="仿宋_GB2312" w:hAnsi="仿宋_GB2312" w:cs="仿宋_GB2312" w:hint="eastAsia"/>
          <w:color w:val="auto"/>
          <w:spacing w:val="6"/>
          <w:sz w:val="32"/>
          <w:szCs w:val="32"/>
          <w:highlight w:val="none"/>
        </w:rPr>
        <w:t>合同违约行为；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（二）在双边协商、摘挂牌交易</w:t>
      </w:r>
      <w:r>
        <w:rPr>
          <w:rFonts w:ascii="仿宋_GB2312" w:eastAsia="仿宋_GB2312" w:hAnsi="仿宋_GB2312" w:cs="仿宋_GB2312" w:hint="eastAsia"/>
          <w:color w:val="auto"/>
          <w:spacing w:val="-2"/>
          <w:sz w:val="32"/>
          <w:szCs w:val="32"/>
          <w:highlight w:val="none"/>
          <w:lang w:eastAsia="zh-CN"/>
        </w:rPr>
        <w:t>、</w:t>
      </w:r>
      <w:r>
        <w:rPr>
          <w:rFonts w:ascii="仿宋_GB2312" w:eastAsia="仿宋_GB2312" w:hAnsi="仿宋_GB2312" w:cs="仿宋_GB2312" w:hint="eastAsia"/>
          <w:color w:val="auto"/>
          <w:spacing w:val="-2"/>
          <w:sz w:val="32"/>
          <w:szCs w:val="32"/>
          <w:highlight w:val="none"/>
          <w:lang w:val="en-US" w:eastAsia="zh-CN"/>
        </w:rPr>
        <w:t>滚动撮合、竞价交易</w:t>
      </w:r>
      <w:r>
        <w:rPr>
          <w:rFonts w:ascii="仿宋_GB2312" w:eastAsia="仿宋_GB2312" w:hAnsi="仿宋_GB2312" w:cs="仿宋_GB2312" w:hint="eastAsia"/>
          <w:color w:val="auto"/>
          <w:spacing w:val="-2"/>
          <w:sz w:val="32"/>
          <w:szCs w:val="32"/>
          <w:highlight w:val="none"/>
        </w:rPr>
        <w:t>中，偏离市场均价</w:t>
      </w:r>
      <w:r>
        <w:rPr>
          <w:rFonts w:ascii="仿宋_GB2312" w:eastAsia="仿宋_GB2312" w:hAnsi="仿宋_GB2312" w:cs="仿宋_GB2312" w:hint="eastAsia"/>
          <w:color w:val="auto"/>
          <w:spacing w:val="-2"/>
          <w:sz w:val="32"/>
          <w:szCs w:val="32"/>
          <w:highlight w:val="none"/>
          <w:lang w:eastAsia="zh-CN"/>
        </w:rPr>
        <w:t>（</w:t>
      </w:r>
      <w:r>
        <w:rPr>
          <w:rFonts w:ascii="仿宋_GB2312" w:eastAsia="仿宋_GB2312" w:hAnsi="仿宋_GB2312" w:cs="仿宋_GB2312" w:hint="eastAsia"/>
          <w:color w:val="auto"/>
          <w:spacing w:val="-2"/>
          <w:sz w:val="32"/>
          <w:szCs w:val="32"/>
          <w:highlight w:val="none"/>
          <w:lang w:val="en-US" w:eastAsia="zh-CN"/>
        </w:rPr>
        <w:t>包括合约曲线价格偏离市场价值</w:t>
      </w:r>
      <w:r>
        <w:rPr>
          <w:rFonts w:ascii="仿宋_GB2312" w:eastAsia="仿宋_GB2312" w:hAnsi="仿宋_GB2312" w:cs="仿宋_GB2312" w:hint="eastAsia"/>
          <w:color w:val="auto"/>
          <w:spacing w:val="-2"/>
          <w:sz w:val="32"/>
          <w:szCs w:val="32"/>
          <w:highlight w:val="none"/>
          <w:lang w:eastAsia="zh-CN"/>
        </w:rPr>
        <w:t>）</w:t>
      </w:r>
      <w:r>
        <w:rPr>
          <w:rFonts w:ascii="仿宋_GB2312" w:eastAsia="仿宋_GB2312" w:hAnsi="仿宋_GB2312" w:cs="仿宋_GB2312" w:hint="eastAsia"/>
          <w:color w:val="auto"/>
          <w:spacing w:val="-2"/>
          <w:sz w:val="32"/>
          <w:szCs w:val="32"/>
          <w:highlight w:val="none"/>
        </w:rPr>
        <w:t>20%</w:t>
      </w:r>
      <w:r>
        <w:rPr>
          <w:rFonts w:ascii="仿宋_GB2312" w:eastAsia="仿宋_GB2312" w:hAnsi="仿宋_GB2312" w:cs="仿宋_GB2312" w:hint="eastAsia"/>
          <w:color w:val="auto"/>
          <w:spacing w:val="5"/>
          <w:sz w:val="32"/>
          <w:szCs w:val="32"/>
          <w:highlight w:val="none"/>
        </w:rPr>
        <w:t>及以上达成交易，并导致其他市场主体利益受损；</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（三）多次进行高买低卖的交易，或单次高买低卖交易</w:t>
      </w:r>
      <w:r>
        <w:rPr>
          <w:rFonts w:ascii="仿宋_GB2312" w:eastAsia="仿宋_GB2312" w:hAnsi="仿宋_GB2312" w:cs="仿宋_GB2312" w:hint="eastAsia"/>
          <w:color w:val="auto"/>
          <w:spacing w:val="4"/>
          <w:sz w:val="32"/>
          <w:szCs w:val="32"/>
          <w:highlight w:val="none"/>
        </w:rPr>
        <w:t>金额较大；</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3"/>
          <w:sz w:val="32"/>
          <w:szCs w:val="32"/>
          <w:highlight w:val="none"/>
        </w:rPr>
      </w:pPr>
      <w:r>
        <w:rPr>
          <w:rFonts w:ascii="仿宋_GB2312" w:eastAsia="仿宋_GB2312" w:hAnsi="仿宋_GB2312" w:cs="仿宋_GB2312" w:hint="eastAsia"/>
          <w:color w:val="auto"/>
          <w:spacing w:val="-3"/>
          <w:sz w:val="32"/>
          <w:szCs w:val="32"/>
          <w:highlight w:val="none"/>
        </w:rPr>
        <w:t>（四）承担保底售电业务时，为自身或关联企业谋取不</w:t>
      </w:r>
      <w:r>
        <w:rPr>
          <w:rFonts w:ascii="仿宋_GB2312" w:eastAsia="仿宋_GB2312" w:hAnsi="仿宋_GB2312" w:cs="仿宋_GB2312" w:hint="eastAsia"/>
          <w:color w:val="auto"/>
          <w:spacing w:val="3"/>
          <w:sz w:val="32"/>
          <w:szCs w:val="32"/>
          <w:highlight w:val="none"/>
        </w:rPr>
        <w:t>正当利益；</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3"/>
          <w:sz w:val="32"/>
          <w:szCs w:val="32"/>
          <w:highlight w:val="none"/>
          <w:lang w:val="en-US" w:eastAsia="zh-CN"/>
        </w:rPr>
      </w:pPr>
      <w:r>
        <w:rPr>
          <w:rFonts w:ascii="仿宋_GB2312" w:eastAsia="仿宋_GB2312" w:hAnsi="仿宋_GB2312" w:cs="仿宋_GB2312" w:hint="eastAsia"/>
          <w:color w:val="auto"/>
          <w:spacing w:val="-3"/>
          <w:sz w:val="32"/>
          <w:szCs w:val="32"/>
          <w:highlight w:val="none"/>
        </w:rPr>
        <w:t>（</w:t>
      </w:r>
      <w:r>
        <w:rPr>
          <w:rFonts w:ascii="仿宋_GB2312" w:eastAsia="仿宋_GB2312" w:hAnsi="仿宋_GB2312" w:cs="仿宋_GB2312" w:hint="eastAsia"/>
          <w:color w:val="auto"/>
          <w:spacing w:val="-3"/>
          <w:sz w:val="32"/>
          <w:szCs w:val="32"/>
          <w:highlight w:val="none"/>
          <w:lang w:val="en-US" w:eastAsia="zh-CN"/>
        </w:rPr>
        <w:t>五</w:t>
      </w:r>
      <w:r>
        <w:rPr>
          <w:rFonts w:ascii="仿宋_GB2312" w:eastAsia="仿宋_GB2312" w:hAnsi="仿宋_GB2312" w:cs="仿宋_GB2312" w:hint="eastAsia"/>
          <w:color w:val="auto"/>
          <w:spacing w:val="-3"/>
          <w:sz w:val="32"/>
          <w:szCs w:val="32"/>
          <w:highlight w:val="none"/>
        </w:rPr>
        <w:t>）</w:t>
      </w:r>
      <w:r>
        <w:rPr>
          <w:rFonts w:ascii="仿宋_GB2312" w:eastAsia="仿宋_GB2312" w:hAnsi="仿宋_GB2312" w:cs="仿宋_GB2312" w:hint="eastAsia"/>
          <w:color w:val="auto"/>
          <w:spacing w:val="-3"/>
          <w:sz w:val="32"/>
          <w:szCs w:val="32"/>
          <w:highlight w:val="none"/>
          <w:lang w:val="en-US" w:eastAsia="zh-CN"/>
        </w:rPr>
        <w:t>存在交易异常行为，包括串通报价、申报频率异常等，违反法律法规和交易规则的其他异常行为（附件1：交易行为异常认定标准）。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1"/>
          <w:sz w:val="32"/>
          <w:szCs w:val="32"/>
          <w:highlight w:val="none"/>
        </w:rPr>
        <w:t>第七条</w:t>
      </w:r>
      <w:r>
        <w:rPr>
          <w:rFonts w:ascii="仿宋_GB2312" w:eastAsia="仿宋_GB2312" w:hAnsi="仿宋_GB2312" w:cs="仿宋_GB2312" w:hint="eastAsia"/>
          <w:b/>
          <w:bCs/>
          <w:color w:val="auto"/>
          <w:spacing w:val="11"/>
          <w:sz w:val="32"/>
          <w:szCs w:val="32"/>
          <w:highlight w:val="none"/>
          <w:lang w:val="en-US" w:eastAsia="zh-CN"/>
        </w:rPr>
        <w:t xml:space="preserve"> </w:t>
      </w:r>
      <w:r>
        <w:rPr>
          <w:rFonts w:ascii="仿宋_GB2312" w:eastAsia="仿宋_GB2312" w:hAnsi="仿宋_GB2312" w:cs="仿宋_GB2312" w:hint="eastAsia"/>
          <w:color w:val="auto"/>
          <w:spacing w:val="11"/>
          <w:sz w:val="32"/>
          <w:szCs w:val="32"/>
          <w:highlight w:val="none"/>
        </w:rPr>
        <w:t>售电公司、零售电力用户</w:t>
      </w:r>
      <w:r>
        <w:rPr>
          <w:rFonts w:ascii="仿宋_GB2312" w:eastAsia="仿宋_GB2312" w:hAnsi="仿宋_GB2312" w:cs="仿宋_GB2312" w:hint="eastAsia"/>
          <w:color w:val="auto"/>
          <w:spacing w:val="11"/>
          <w:sz w:val="32"/>
          <w:szCs w:val="32"/>
          <w:highlight w:val="none"/>
          <w:lang w:val="en-US" w:eastAsia="zh-CN"/>
        </w:rPr>
        <w:t>存在</w:t>
      </w:r>
      <w:r>
        <w:rPr>
          <w:rFonts w:ascii="仿宋_GB2312" w:eastAsia="仿宋_GB2312" w:hAnsi="仿宋_GB2312" w:cs="仿宋_GB2312" w:hint="eastAsia"/>
          <w:color w:val="auto"/>
          <w:spacing w:val="11"/>
          <w:sz w:val="32"/>
          <w:szCs w:val="32"/>
          <w:highlight w:val="none"/>
        </w:rPr>
        <w:t>下列违反零售交易</w:t>
      </w:r>
      <w:r>
        <w:rPr>
          <w:rFonts w:ascii="仿宋_GB2312" w:eastAsia="仿宋_GB2312" w:hAnsi="仿宋_GB2312" w:cs="仿宋_GB2312" w:hint="eastAsia"/>
          <w:color w:val="auto"/>
          <w:spacing w:val="11"/>
          <w:sz w:val="32"/>
          <w:szCs w:val="32"/>
          <w:highlight w:val="none"/>
          <w:lang w:val="en-US" w:eastAsia="zh-CN"/>
        </w:rPr>
        <w:t>相关</w:t>
      </w:r>
      <w:r>
        <w:rPr>
          <w:rFonts w:ascii="仿宋_GB2312" w:eastAsia="仿宋_GB2312" w:hAnsi="仿宋_GB2312" w:cs="仿宋_GB2312" w:hint="eastAsia"/>
          <w:color w:val="auto"/>
          <w:spacing w:val="4"/>
          <w:sz w:val="32"/>
          <w:szCs w:val="32"/>
          <w:highlight w:val="none"/>
        </w:rPr>
        <w:t>管理规定行为之一的，可按不良行为处理：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（一）售电公司未履行如实告知义务，即未充分、清晰、</w:t>
      </w:r>
      <w:r>
        <w:rPr>
          <w:rFonts w:ascii="仿宋_GB2312" w:eastAsia="仿宋_GB2312" w:hAnsi="仿宋_GB2312" w:cs="仿宋_GB2312" w:hint="eastAsia"/>
          <w:color w:val="auto"/>
          <w:spacing w:val="4"/>
          <w:sz w:val="32"/>
          <w:szCs w:val="32"/>
          <w:highlight w:val="none"/>
        </w:rPr>
        <w:t>准确向电力用户说明电力市场的风险、合同条款含义，导致</w:t>
      </w:r>
      <w:r>
        <w:rPr>
          <w:rFonts w:ascii="仿宋_GB2312" w:eastAsia="仿宋_GB2312" w:hAnsi="仿宋_GB2312" w:cs="仿宋_GB2312" w:hint="eastAsia"/>
          <w:color w:val="auto"/>
          <w:spacing w:val="-12"/>
          <w:sz w:val="32"/>
          <w:szCs w:val="32"/>
          <w:highlight w:val="none"/>
        </w:rPr>
        <w:t>电力用户权益受损（标准：偏离</w:t>
      </w:r>
      <w:r>
        <w:rPr>
          <w:rFonts w:ascii="仿宋_GB2312" w:eastAsia="仿宋_GB2312" w:hAnsi="仿宋_GB2312" w:cs="仿宋_GB2312" w:hint="eastAsia"/>
          <w:color w:val="auto"/>
          <w:spacing w:val="-12"/>
          <w:sz w:val="32"/>
          <w:szCs w:val="32"/>
          <w:highlight w:val="none"/>
          <w:lang w:val="en-US" w:eastAsia="zh-CN"/>
        </w:rPr>
        <w:t>月度批发市场结算</w:t>
      </w:r>
      <w:r>
        <w:rPr>
          <w:rFonts w:ascii="仿宋_GB2312" w:eastAsia="仿宋_GB2312" w:hAnsi="仿宋_GB2312" w:cs="仿宋_GB2312" w:hint="eastAsia"/>
          <w:color w:val="auto"/>
          <w:spacing w:val="-12"/>
          <w:sz w:val="32"/>
          <w:szCs w:val="32"/>
          <w:highlight w:val="none"/>
        </w:rPr>
        <w:t>均价15%及以上，下同）。</w:t>
      </w:r>
      <w:r>
        <w:rPr>
          <w:rFonts w:ascii="仿宋_GB2312" w:eastAsia="仿宋_GB2312" w:hAnsi="仿宋_GB2312" w:cs="仿宋_GB2312" w:hint="eastAsia"/>
          <w:color w:val="auto"/>
          <w:spacing w:val="8"/>
          <w:sz w:val="32"/>
          <w:szCs w:val="32"/>
          <w:highlight w:val="none"/>
        </w:rPr>
        <w:t>证明已履行如实告知义务应提供以下证明材料之一：</w:t>
      </w:r>
    </w:p>
    <w:p>
      <w:pPr>
        <w:pStyle w:val="BodyText"/>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
          <w:sz w:val="32"/>
          <w:szCs w:val="32"/>
          <w:highlight w:val="none"/>
          <w:lang w:eastAsia="zh-CN"/>
        </w:rPr>
      </w:pPr>
      <w:r>
        <w:rPr>
          <w:rFonts w:ascii="仿宋_GB2312" w:eastAsia="仿宋_GB2312" w:hAnsi="仿宋_GB2312" w:cs="仿宋_GB2312" w:hint="eastAsia"/>
          <w:color w:val="auto"/>
          <w:sz w:val="32"/>
          <w:szCs w:val="32"/>
          <w:highlight w:val="none"/>
        </w:rPr>
        <w:t>风险告知书</w:t>
      </w:r>
      <w:r>
        <w:rPr>
          <w:rFonts w:ascii="仿宋_GB2312" w:eastAsia="仿宋_GB2312" w:hAnsi="仿宋_GB2312" w:cs="仿宋_GB2312" w:hint="eastAsia"/>
          <w:color w:val="auto"/>
          <w:spacing w:val="6"/>
          <w:sz w:val="32"/>
          <w:szCs w:val="32"/>
          <w:highlight w:val="none"/>
        </w:rPr>
        <w:t>（示例见附件</w:t>
      </w:r>
      <w:r>
        <w:rPr>
          <w:rFonts w:ascii="仿宋_GB2312" w:eastAsia="仿宋_GB2312" w:hAnsi="仿宋_GB2312" w:cs="仿宋_GB2312" w:hint="default"/>
          <w:color w:val="auto"/>
          <w:spacing w:val="6"/>
          <w:sz w:val="32"/>
          <w:szCs w:val="32"/>
          <w:highlight w:val="none"/>
          <w:lang w:val="en-US"/>
        </w:rPr>
        <w:t>2</w:t>
      </w:r>
      <w:r>
        <w:rPr>
          <w:rFonts w:ascii="仿宋_GB2312" w:eastAsia="仿宋_GB2312" w:hAnsi="仿宋_GB2312" w:cs="仿宋_GB2312" w:hint="eastAsia"/>
          <w:color w:val="auto"/>
          <w:spacing w:val="6"/>
          <w:sz w:val="32"/>
          <w:szCs w:val="32"/>
          <w:highlight w:val="none"/>
        </w:rPr>
        <w:t>）</w:t>
      </w:r>
      <w:r>
        <w:rPr>
          <w:rFonts w:ascii="仿宋_GB2312" w:eastAsia="仿宋_GB2312" w:hAnsi="仿宋_GB2312" w:cs="仿宋_GB2312" w:hint="eastAsia"/>
          <w:color w:val="auto"/>
          <w:spacing w:val="-50"/>
          <w:w w:val="83"/>
          <w:sz w:val="32"/>
          <w:szCs w:val="32"/>
          <w:highlight w:val="none"/>
        </w:rPr>
        <w:t>，</w:t>
      </w:r>
      <w:r>
        <w:rPr>
          <w:rFonts w:ascii="仿宋_GB2312" w:eastAsia="仿宋_GB2312" w:hAnsi="仿宋_GB2312" w:cs="仿宋_GB2312" w:hint="eastAsia"/>
          <w:color w:val="auto"/>
          <w:sz w:val="32"/>
          <w:szCs w:val="32"/>
          <w:highlight w:val="none"/>
        </w:rPr>
        <w:t>需双方盖</w:t>
      </w:r>
      <w:r>
        <w:rPr>
          <w:rFonts w:ascii="仿宋_GB2312" w:eastAsia="仿宋_GB2312" w:hAnsi="仿宋_GB2312" w:cs="仿宋_GB2312" w:hint="eastAsia"/>
          <w:color w:val="auto"/>
          <w:spacing w:val="-1"/>
          <w:sz w:val="32"/>
          <w:szCs w:val="32"/>
          <w:highlight w:val="none"/>
        </w:rPr>
        <w:t>章确认</w:t>
      </w:r>
      <w:r>
        <w:rPr>
          <w:rFonts w:ascii="仿宋_GB2312" w:eastAsia="仿宋_GB2312" w:hAnsi="仿宋_GB2312" w:cs="仿宋_GB2312" w:hint="eastAsia"/>
          <w:color w:val="auto"/>
          <w:spacing w:val="-1"/>
          <w:sz w:val="32"/>
          <w:szCs w:val="32"/>
          <w:highlight w:val="none"/>
          <w:lang w:eastAsia="zh-CN"/>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1"/>
          <w:sz w:val="32"/>
          <w:szCs w:val="32"/>
          <w:highlight w:val="none"/>
        </w:rPr>
      </w:pPr>
      <w:r>
        <w:rPr>
          <w:rFonts w:ascii="仿宋_GB2312" w:eastAsia="仿宋_GB2312" w:hAnsi="仿宋_GB2312" w:cs="仿宋_GB2312" w:hint="eastAsia"/>
          <w:color w:val="auto"/>
          <w:spacing w:val="11"/>
          <w:sz w:val="32"/>
          <w:szCs w:val="32"/>
          <w:highlight w:val="none"/>
        </w:rPr>
        <w:t>2.视频证据</w:t>
      </w:r>
      <w:r>
        <w:rPr>
          <w:rFonts w:ascii="仿宋_GB2312" w:eastAsia="仿宋_GB2312" w:hAnsi="仿宋_GB2312" w:cs="仿宋_GB2312" w:hint="eastAsia"/>
          <w:color w:val="auto"/>
          <w:spacing w:val="6"/>
          <w:sz w:val="32"/>
          <w:szCs w:val="32"/>
          <w:highlight w:val="none"/>
        </w:rPr>
        <w:t>（示例见附件</w:t>
      </w:r>
      <w:r>
        <w:rPr>
          <w:rFonts w:ascii="仿宋_GB2312" w:eastAsia="仿宋_GB2312" w:hAnsi="仿宋_GB2312" w:cs="仿宋_GB2312" w:hint="default"/>
          <w:color w:val="auto"/>
          <w:spacing w:val="6"/>
          <w:sz w:val="32"/>
          <w:szCs w:val="32"/>
          <w:highlight w:val="none"/>
          <w:lang w:val="en-US"/>
        </w:rPr>
        <w:t>3</w:t>
      </w:r>
      <w:r>
        <w:rPr>
          <w:rFonts w:ascii="仿宋_GB2312" w:eastAsia="仿宋_GB2312" w:hAnsi="仿宋_GB2312" w:cs="仿宋_GB2312" w:hint="eastAsia"/>
          <w:color w:val="auto"/>
          <w:spacing w:val="6"/>
          <w:sz w:val="32"/>
          <w:szCs w:val="32"/>
          <w:highlight w:val="none"/>
        </w:rPr>
        <w:t>）</w:t>
      </w:r>
      <w:r>
        <w:rPr>
          <w:rFonts w:ascii="仿宋_GB2312" w:eastAsia="仿宋_GB2312" w:hAnsi="仿宋_GB2312" w:cs="仿宋_GB2312" w:hint="eastAsia"/>
          <w:color w:val="auto"/>
          <w:spacing w:val="11"/>
          <w:sz w:val="32"/>
          <w:szCs w:val="32"/>
          <w:highlight w:val="none"/>
        </w:rPr>
        <w:t>，需电力用户法定代表人以视频形式确认已知悉电力市场的风险、合同条款含义；</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default"/>
          <w:color w:val="auto"/>
          <w:spacing w:val="8"/>
          <w:sz w:val="32"/>
          <w:szCs w:val="32"/>
          <w:highlight w:val="none"/>
          <w:lang w:val="en-US"/>
        </w:rPr>
        <w:t>3</w:t>
      </w:r>
      <w:r>
        <w:rPr>
          <w:rFonts w:ascii="仿宋_GB2312" w:eastAsia="仿宋_GB2312" w:hAnsi="仿宋_GB2312" w:cs="仿宋_GB2312" w:hint="eastAsia"/>
          <w:color w:val="auto"/>
          <w:spacing w:val="8"/>
          <w:sz w:val="32"/>
          <w:szCs w:val="32"/>
          <w:highlight w:val="none"/>
        </w:rPr>
        <w:t>.其他能证明已如实准确告知的证据。</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1"/>
          <w:sz w:val="32"/>
          <w:szCs w:val="32"/>
          <w:highlight w:val="none"/>
        </w:rPr>
        <w:t>（二）售电公司未获授权</w:t>
      </w:r>
      <w:r>
        <w:rPr>
          <w:rFonts w:ascii="仿宋_GB2312" w:eastAsia="仿宋_GB2312" w:hAnsi="仿宋_GB2312" w:cs="仿宋_GB2312" w:hint="eastAsia"/>
          <w:color w:val="auto"/>
          <w:spacing w:val="11"/>
          <w:sz w:val="32"/>
          <w:szCs w:val="32"/>
          <w:highlight w:val="none"/>
          <w:lang w:val="en-US" w:eastAsia="zh-CN"/>
        </w:rPr>
        <w:t>登录电力用户账号、</w:t>
      </w:r>
      <w:r>
        <w:rPr>
          <w:rFonts w:ascii="仿宋_GB2312" w:eastAsia="仿宋_GB2312" w:hAnsi="仿宋_GB2312" w:cs="仿宋_GB2312" w:hint="eastAsia"/>
          <w:color w:val="auto"/>
          <w:spacing w:val="11"/>
          <w:sz w:val="32"/>
          <w:szCs w:val="32"/>
          <w:highlight w:val="none"/>
        </w:rPr>
        <w:t>擅自使用电力用户电子印章</w:t>
      </w:r>
      <w:r>
        <w:rPr>
          <w:rFonts w:ascii="仿宋_GB2312" w:eastAsia="仿宋_GB2312" w:hAnsi="仿宋_GB2312" w:cs="仿宋_GB2312" w:hint="eastAsia"/>
          <w:color w:val="auto"/>
          <w:spacing w:val="12"/>
          <w:sz w:val="32"/>
          <w:szCs w:val="32"/>
          <w:highlight w:val="none"/>
        </w:rPr>
        <w:t>（</w:t>
      </w:r>
      <w:r>
        <w:rPr>
          <w:rFonts w:ascii="仿宋_GB2312" w:eastAsia="仿宋_GB2312" w:hAnsi="仿宋_GB2312" w:cs="仿宋_GB2312" w:hint="eastAsia"/>
          <w:color w:val="auto"/>
          <w:spacing w:val="12"/>
          <w:sz w:val="32"/>
          <w:szCs w:val="32"/>
          <w:highlight w:val="none"/>
          <w:lang w:val="en-US" w:eastAsia="zh-CN"/>
        </w:rPr>
        <w:t>含</w:t>
      </w:r>
      <w:r>
        <w:rPr>
          <w:rFonts w:ascii="仿宋_GB2312" w:eastAsia="仿宋_GB2312" w:hAnsi="仿宋_GB2312" w:cs="仿宋_GB2312" w:hint="eastAsia"/>
          <w:color w:val="auto"/>
          <w:spacing w:val="12"/>
          <w:sz w:val="32"/>
          <w:szCs w:val="32"/>
          <w:highlight w:val="none"/>
        </w:rPr>
        <w:t>验证码等认证方式</w:t>
      </w:r>
      <w:r>
        <w:rPr>
          <w:rFonts w:ascii="仿宋_GB2312" w:eastAsia="仿宋_GB2312" w:hAnsi="仿宋_GB2312" w:cs="仿宋_GB2312" w:hint="eastAsia"/>
          <w:color w:val="auto"/>
          <w:spacing w:val="-59"/>
          <w:w w:val="98"/>
          <w:sz w:val="32"/>
          <w:szCs w:val="32"/>
          <w:highlight w:val="none"/>
        </w:rPr>
        <w:t>）</w:t>
      </w:r>
      <w:r>
        <w:rPr>
          <w:rFonts w:ascii="仿宋_GB2312" w:eastAsia="仿宋_GB2312" w:hAnsi="仿宋_GB2312" w:cs="仿宋_GB2312" w:hint="eastAsia"/>
          <w:color w:val="auto"/>
          <w:spacing w:val="-59"/>
          <w:w w:val="98"/>
          <w:sz w:val="32"/>
          <w:szCs w:val="32"/>
          <w:highlight w:val="none"/>
          <w:lang w:val="en-US" w:eastAsia="zh-CN"/>
        </w:rPr>
        <w:t>等</w:t>
      </w:r>
      <w:r>
        <w:rPr>
          <w:rFonts w:ascii="仿宋_GB2312" w:eastAsia="仿宋_GB2312" w:hAnsi="仿宋_GB2312" w:cs="仿宋_GB2312" w:hint="eastAsia"/>
          <w:color w:val="auto"/>
          <w:spacing w:val="12"/>
          <w:sz w:val="32"/>
          <w:szCs w:val="32"/>
          <w:highlight w:val="none"/>
        </w:rPr>
        <w:t>签订</w:t>
      </w:r>
      <w:r>
        <w:rPr>
          <w:rFonts w:ascii="仿宋_GB2312" w:eastAsia="仿宋_GB2312" w:hAnsi="仿宋_GB2312" w:cs="仿宋_GB2312" w:hint="eastAsia"/>
          <w:color w:val="auto"/>
          <w:spacing w:val="4"/>
          <w:sz w:val="32"/>
          <w:szCs w:val="32"/>
          <w:highlight w:val="none"/>
          <w:lang w:val="en-US" w:eastAsia="zh-CN"/>
        </w:rPr>
        <w:t>电力中长期交易合同、</w:t>
      </w:r>
      <w:r>
        <w:rPr>
          <w:rFonts w:ascii="仿宋_GB2312" w:eastAsia="仿宋_GB2312" w:hAnsi="仿宋_GB2312" w:cs="仿宋_GB2312" w:hint="eastAsia"/>
          <w:color w:val="auto"/>
          <w:spacing w:val="12"/>
          <w:sz w:val="32"/>
          <w:szCs w:val="32"/>
          <w:highlight w:val="none"/>
          <w:lang w:val="en-US" w:eastAsia="zh-CN"/>
        </w:rPr>
        <w:t>零售合同</w:t>
      </w:r>
      <w:r>
        <w:rPr>
          <w:rFonts w:ascii="仿宋_GB2312" w:eastAsia="仿宋_GB2312" w:hAnsi="仿宋_GB2312" w:cs="仿宋_GB2312" w:hint="eastAsia"/>
          <w:color w:val="auto"/>
          <w:spacing w:val="4"/>
          <w:sz w:val="32"/>
          <w:szCs w:val="32"/>
          <w:highlight w:val="none"/>
        </w:rPr>
        <w:t>等</w:t>
      </w:r>
      <w:r>
        <w:rPr>
          <w:rFonts w:ascii="仿宋_GB2312" w:eastAsia="仿宋_GB2312" w:hAnsi="仿宋_GB2312" w:cs="仿宋_GB2312" w:hint="eastAsia"/>
          <w:color w:val="auto"/>
          <w:spacing w:val="4"/>
          <w:sz w:val="32"/>
          <w:szCs w:val="32"/>
          <w:highlight w:val="none"/>
          <w:lang w:val="en-US" w:eastAsia="zh-CN"/>
        </w:rPr>
        <w:t>行为</w:t>
      </w:r>
      <w:r>
        <w:rPr>
          <w:rFonts w:ascii="仿宋_GB2312" w:eastAsia="仿宋_GB2312" w:hAnsi="仿宋_GB2312" w:cs="仿宋_GB2312" w:hint="eastAsia"/>
          <w:color w:val="auto"/>
          <w:spacing w:val="4"/>
          <w:sz w:val="32"/>
          <w:szCs w:val="32"/>
          <w:highlight w:val="none"/>
        </w:rPr>
        <w:t>，导致电力用户权益受损。证明经电力用户授权</w:t>
      </w:r>
      <w:r>
        <w:rPr>
          <w:rFonts w:ascii="仿宋_GB2312" w:eastAsia="仿宋_GB2312" w:hAnsi="仿宋_GB2312" w:cs="仿宋_GB2312" w:hint="eastAsia"/>
          <w:color w:val="auto"/>
          <w:spacing w:val="11"/>
          <w:sz w:val="32"/>
          <w:szCs w:val="32"/>
          <w:highlight w:val="none"/>
          <w:lang w:val="en-US" w:eastAsia="zh-CN"/>
        </w:rPr>
        <w:t>登录电力用户账号、</w:t>
      </w:r>
      <w:r>
        <w:rPr>
          <w:rFonts w:ascii="仿宋_GB2312" w:eastAsia="仿宋_GB2312" w:hAnsi="仿宋_GB2312" w:cs="仿宋_GB2312" w:hint="eastAsia"/>
          <w:color w:val="auto"/>
          <w:spacing w:val="4"/>
          <w:sz w:val="32"/>
          <w:szCs w:val="32"/>
          <w:highlight w:val="none"/>
        </w:rPr>
        <w:t>使</w:t>
      </w:r>
      <w:r>
        <w:rPr>
          <w:rFonts w:ascii="仿宋_GB2312" w:eastAsia="仿宋_GB2312" w:hAnsi="仿宋_GB2312" w:cs="仿宋_GB2312" w:hint="eastAsia"/>
          <w:color w:val="auto"/>
          <w:spacing w:val="9"/>
          <w:sz w:val="32"/>
          <w:szCs w:val="32"/>
          <w:highlight w:val="none"/>
        </w:rPr>
        <w:t>用电子印章应提供以下证明材料之一：</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1.企业管理员的纸质授权委托书，与交易系统中电子合</w:t>
      </w:r>
      <w:r>
        <w:rPr>
          <w:rFonts w:ascii="仿宋_GB2312" w:eastAsia="仿宋_GB2312" w:hAnsi="仿宋_GB2312" w:cs="仿宋_GB2312" w:hint="eastAsia"/>
          <w:color w:val="auto"/>
          <w:spacing w:val="3"/>
          <w:sz w:val="32"/>
          <w:szCs w:val="32"/>
          <w:highlight w:val="none"/>
        </w:rPr>
        <w:t>同一致的纸质合同；</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2.风险告知书</w:t>
      </w:r>
      <w:r>
        <w:rPr>
          <w:rFonts w:ascii="仿宋_GB2312" w:eastAsia="仿宋_GB2312" w:hAnsi="仿宋_GB2312" w:cs="仿宋_GB2312" w:hint="eastAsia"/>
          <w:color w:val="auto"/>
          <w:spacing w:val="6"/>
          <w:sz w:val="32"/>
          <w:szCs w:val="32"/>
          <w:highlight w:val="none"/>
        </w:rPr>
        <w:t>（示例见附件</w:t>
      </w:r>
      <w:r>
        <w:rPr>
          <w:rFonts w:ascii="仿宋_GB2312" w:eastAsia="仿宋_GB2312" w:hAnsi="仿宋_GB2312" w:cs="仿宋_GB2312" w:hint="eastAsia"/>
          <w:color w:val="auto"/>
          <w:spacing w:val="6"/>
          <w:sz w:val="32"/>
          <w:szCs w:val="32"/>
          <w:highlight w:val="none"/>
          <w:lang w:val="en-US" w:eastAsia="zh-CN"/>
        </w:rPr>
        <w:t>2</w:t>
      </w:r>
      <w:r>
        <w:rPr>
          <w:rFonts w:ascii="仿宋_GB2312" w:eastAsia="仿宋_GB2312" w:hAnsi="仿宋_GB2312" w:cs="仿宋_GB2312" w:hint="eastAsia"/>
          <w:color w:val="auto"/>
          <w:spacing w:val="6"/>
          <w:sz w:val="32"/>
          <w:szCs w:val="32"/>
          <w:highlight w:val="none"/>
        </w:rPr>
        <w:t>）</w:t>
      </w:r>
      <w:r>
        <w:rPr>
          <w:rFonts w:ascii="仿宋_GB2312" w:eastAsia="仿宋_GB2312" w:hAnsi="仿宋_GB2312" w:cs="仿宋_GB2312" w:hint="eastAsia"/>
          <w:color w:val="auto"/>
          <w:spacing w:val="-51"/>
          <w:w w:val="83"/>
          <w:sz w:val="32"/>
          <w:szCs w:val="32"/>
          <w:highlight w:val="none"/>
        </w:rPr>
        <w:t>，</w:t>
      </w:r>
      <w:r>
        <w:rPr>
          <w:rFonts w:ascii="仿宋_GB2312" w:eastAsia="仿宋_GB2312" w:hAnsi="仿宋_GB2312" w:cs="仿宋_GB2312" w:hint="eastAsia"/>
          <w:color w:val="auto"/>
          <w:spacing w:val="1"/>
          <w:sz w:val="32"/>
          <w:szCs w:val="32"/>
          <w:highlight w:val="none"/>
        </w:rPr>
        <w:t>需双方盖章确认；</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rPr>
        <w:t>3.视频证据（示例见附件</w:t>
      </w:r>
      <w:r>
        <w:rPr>
          <w:rFonts w:ascii="仿宋_GB2312" w:eastAsia="仿宋_GB2312" w:hAnsi="仿宋_GB2312" w:cs="仿宋_GB2312" w:hint="eastAsia"/>
          <w:color w:val="auto"/>
          <w:spacing w:val="6"/>
          <w:sz w:val="32"/>
          <w:szCs w:val="32"/>
          <w:highlight w:val="none"/>
          <w:lang w:val="en-US" w:eastAsia="zh-CN"/>
        </w:rPr>
        <w:t>3</w:t>
      </w:r>
      <w:r>
        <w:rPr>
          <w:rFonts w:ascii="仿宋_GB2312" w:eastAsia="仿宋_GB2312" w:hAnsi="仿宋_GB2312" w:cs="仿宋_GB2312" w:hint="eastAsia"/>
          <w:color w:val="auto"/>
          <w:spacing w:val="-58"/>
          <w:w w:val="95"/>
          <w:sz w:val="32"/>
          <w:szCs w:val="32"/>
          <w:highlight w:val="none"/>
        </w:rPr>
        <w:t>），</w:t>
      </w:r>
      <w:r>
        <w:rPr>
          <w:rFonts w:ascii="仿宋_GB2312" w:eastAsia="仿宋_GB2312" w:hAnsi="仿宋_GB2312" w:cs="仿宋_GB2312" w:hint="eastAsia"/>
          <w:color w:val="auto"/>
          <w:spacing w:val="6"/>
          <w:sz w:val="32"/>
          <w:szCs w:val="32"/>
          <w:highlight w:val="none"/>
        </w:rPr>
        <w:t>需电力用户</w:t>
      </w:r>
      <w:r>
        <w:rPr>
          <w:rFonts w:ascii="仿宋_GB2312" w:eastAsia="仿宋_GB2312" w:hAnsi="仿宋_GB2312" w:cs="仿宋_GB2312" w:hint="eastAsia"/>
          <w:color w:val="auto"/>
          <w:spacing w:val="11"/>
          <w:sz w:val="32"/>
          <w:szCs w:val="32"/>
          <w:highlight w:val="none"/>
        </w:rPr>
        <w:t>法定代表人</w:t>
      </w:r>
      <w:r>
        <w:rPr>
          <w:rFonts w:ascii="仿宋_GB2312" w:eastAsia="仿宋_GB2312" w:hAnsi="仿宋_GB2312" w:cs="仿宋_GB2312" w:hint="eastAsia"/>
          <w:color w:val="auto"/>
          <w:spacing w:val="5"/>
          <w:sz w:val="32"/>
          <w:szCs w:val="32"/>
          <w:highlight w:val="none"/>
        </w:rPr>
        <w:t>以</w:t>
      </w:r>
      <w:r>
        <w:rPr>
          <w:rFonts w:ascii="仿宋_GB2312" w:eastAsia="仿宋_GB2312" w:hAnsi="仿宋_GB2312" w:cs="仿宋_GB2312" w:hint="eastAsia"/>
          <w:color w:val="auto"/>
          <w:spacing w:val="8"/>
          <w:sz w:val="32"/>
          <w:szCs w:val="32"/>
          <w:highlight w:val="none"/>
        </w:rPr>
        <w:t>视频形式确认电子印章的使用管理；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default"/>
          <w:color w:val="auto"/>
          <w:spacing w:val="8"/>
          <w:sz w:val="32"/>
          <w:szCs w:val="32"/>
          <w:highlight w:val="none"/>
          <w:lang w:val="en-US"/>
        </w:rPr>
        <w:t>4</w:t>
      </w:r>
      <w:r>
        <w:rPr>
          <w:rFonts w:ascii="仿宋_GB2312" w:eastAsia="仿宋_GB2312" w:hAnsi="仿宋_GB2312" w:cs="仿宋_GB2312" w:hint="eastAsia"/>
          <w:color w:val="auto"/>
          <w:spacing w:val="8"/>
          <w:sz w:val="32"/>
          <w:szCs w:val="32"/>
          <w:highlight w:val="none"/>
        </w:rPr>
        <w:t>.其他能证明已授权使用电子印章的证据。</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（三）售电公司未履行合同审核义务，即未对签订（包</w:t>
      </w:r>
      <w:r>
        <w:rPr>
          <w:rFonts w:ascii="仿宋_GB2312" w:eastAsia="仿宋_GB2312" w:hAnsi="仿宋_GB2312" w:cs="仿宋_GB2312" w:hint="eastAsia"/>
          <w:color w:val="auto"/>
          <w:spacing w:val="6"/>
          <w:sz w:val="32"/>
          <w:szCs w:val="32"/>
          <w:highlight w:val="none"/>
        </w:rPr>
        <w:t>括通过居间商签订）的零售电能量</w:t>
      </w:r>
      <w:r>
        <w:rPr>
          <w:rFonts w:ascii="仿宋_GB2312" w:eastAsia="仿宋_GB2312" w:hAnsi="仿宋_GB2312" w:cs="仿宋_GB2312" w:hint="eastAsia"/>
          <w:color w:val="auto"/>
          <w:spacing w:val="6"/>
          <w:sz w:val="32"/>
          <w:szCs w:val="32"/>
          <w:highlight w:val="none"/>
          <w:lang w:val="en-US" w:eastAsia="zh-CN"/>
        </w:rPr>
        <w:t>和价格</w:t>
      </w:r>
      <w:r>
        <w:rPr>
          <w:rFonts w:ascii="仿宋_GB2312" w:eastAsia="仿宋_GB2312" w:hAnsi="仿宋_GB2312" w:cs="仿宋_GB2312" w:hint="eastAsia"/>
          <w:color w:val="auto"/>
          <w:spacing w:val="6"/>
          <w:sz w:val="32"/>
          <w:szCs w:val="32"/>
          <w:highlight w:val="none"/>
        </w:rPr>
        <w:t>、代理市场化需求侧响应</w:t>
      </w:r>
      <w:r>
        <w:rPr>
          <w:rFonts w:ascii="仿宋_GB2312" w:eastAsia="仿宋_GB2312" w:hAnsi="仿宋_GB2312" w:cs="仿宋_GB2312" w:hint="eastAsia"/>
          <w:color w:val="auto"/>
          <w:spacing w:val="3"/>
          <w:sz w:val="32"/>
          <w:szCs w:val="32"/>
          <w:highlight w:val="none"/>
        </w:rPr>
        <w:t>等合同的合法性、真实性、有效性进行严格审核，导致</w:t>
      </w:r>
      <w:r>
        <w:rPr>
          <w:rFonts w:ascii="仿宋_GB2312" w:eastAsia="仿宋_GB2312" w:hAnsi="仿宋_GB2312" w:cs="仿宋_GB2312" w:hint="eastAsia"/>
          <w:color w:val="auto"/>
          <w:spacing w:val="2"/>
          <w:sz w:val="32"/>
          <w:szCs w:val="32"/>
          <w:highlight w:val="none"/>
        </w:rPr>
        <w:t>电力</w:t>
      </w:r>
      <w:r>
        <w:rPr>
          <w:rFonts w:ascii="仿宋_GB2312" w:eastAsia="仿宋_GB2312" w:hAnsi="仿宋_GB2312" w:cs="仿宋_GB2312" w:hint="eastAsia"/>
          <w:color w:val="auto"/>
          <w:spacing w:val="6"/>
          <w:sz w:val="32"/>
          <w:szCs w:val="32"/>
          <w:highlight w:val="none"/>
        </w:rPr>
        <w:t>用户权益受损；</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（四）售电公司未按照合同要求代理用户参与市场化需</w:t>
      </w:r>
      <w:r>
        <w:rPr>
          <w:rFonts w:ascii="仿宋_GB2312" w:eastAsia="仿宋_GB2312" w:hAnsi="仿宋_GB2312" w:cs="仿宋_GB2312" w:hint="eastAsia"/>
          <w:color w:val="auto"/>
          <w:spacing w:val="5"/>
          <w:sz w:val="32"/>
          <w:szCs w:val="32"/>
          <w:highlight w:val="none"/>
        </w:rPr>
        <w:t>求响应，无故拒绝用户参与市场化需求响应的诉求；</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（五）零售电力用户与多家售电公司签订同一履行期限</w:t>
      </w:r>
      <w:r>
        <w:rPr>
          <w:rFonts w:ascii="仿宋_GB2312" w:eastAsia="仿宋_GB2312" w:hAnsi="仿宋_GB2312" w:cs="仿宋_GB2312" w:hint="eastAsia"/>
          <w:color w:val="auto"/>
          <w:spacing w:val="3"/>
          <w:sz w:val="32"/>
          <w:szCs w:val="32"/>
          <w:highlight w:val="none"/>
        </w:rPr>
        <w:t>的零售市场合同；</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（六）经法院判决或仲裁机构裁决，认定存在零售市场</w:t>
      </w:r>
      <w:r>
        <w:rPr>
          <w:rFonts w:ascii="仿宋_GB2312" w:eastAsia="仿宋_GB2312" w:hAnsi="仿宋_GB2312" w:cs="仿宋_GB2312" w:hint="eastAsia"/>
          <w:color w:val="auto"/>
          <w:spacing w:val="6"/>
          <w:sz w:val="32"/>
          <w:szCs w:val="32"/>
          <w:highlight w:val="none"/>
        </w:rPr>
        <w:t>合同违约行为；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
          <w:sz w:val="32"/>
          <w:szCs w:val="32"/>
          <w:highlight w:val="none"/>
        </w:rPr>
      </w:pPr>
      <w:r>
        <w:rPr>
          <w:rFonts w:ascii="仿宋_GB2312" w:eastAsia="仿宋_GB2312" w:hAnsi="仿宋_GB2312" w:cs="仿宋_GB2312" w:hint="eastAsia"/>
          <w:color w:val="auto"/>
          <w:spacing w:val="9"/>
          <w:sz w:val="32"/>
          <w:szCs w:val="32"/>
          <w:highlight w:val="none"/>
        </w:rPr>
        <w:t>（七）</w:t>
      </w:r>
      <w:r>
        <w:rPr>
          <w:rFonts w:ascii="仿宋_GB2312" w:eastAsia="仿宋_GB2312" w:hAnsi="仿宋_GB2312" w:cs="仿宋_GB2312" w:hint="eastAsia"/>
          <w:color w:val="auto"/>
          <w:spacing w:val="1"/>
          <w:sz w:val="32"/>
          <w:szCs w:val="32"/>
          <w:highlight w:val="none"/>
          <w:lang w:val="en-US" w:eastAsia="zh-CN"/>
        </w:rPr>
        <w:t>售电公司未按照线下纸质合同约定的价格、期限等关键信息在交易平台备案零售交易合同，导致电力用户权益受损的行为。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
          <w:sz w:val="32"/>
          <w:szCs w:val="32"/>
          <w:highlight w:val="none"/>
          <w:lang w:val="en-US" w:eastAsia="zh-CN"/>
        </w:rPr>
      </w:pPr>
      <w:r>
        <w:rPr>
          <w:rFonts w:ascii="仿宋_GB2312" w:eastAsia="仿宋_GB2312" w:hAnsi="仿宋_GB2312" w:cs="仿宋_GB2312" w:hint="eastAsia"/>
          <w:color w:val="auto"/>
          <w:spacing w:val="1"/>
          <w:sz w:val="32"/>
          <w:szCs w:val="32"/>
          <w:highlight w:val="none"/>
          <w:lang w:eastAsia="zh-CN"/>
        </w:rPr>
        <w:t>（</w:t>
      </w:r>
      <w:r>
        <w:rPr>
          <w:rFonts w:ascii="仿宋_GB2312" w:eastAsia="仿宋_GB2312" w:hAnsi="仿宋_GB2312" w:cs="仿宋_GB2312" w:hint="eastAsia"/>
          <w:color w:val="auto"/>
          <w:spacing w:val="1"/>
          <w:sz w:val="32"/>
          <w:szCs w:val="32"/>
          <w:highlight w:val="none"/>
          <w:lang w:val="en-US" w:eastAsia="zh-CN"/>
        </w:rPr>
        <w:t>八</w:t>
      </w:r>
      <w:r>
        <w:rPr>
          <w:rFonts w:ascii="仿宋_GB2312" w:eastAsia="仿宋_GB2312" w:hAnsi="仿宋_GB2312" w:cs="仿宋_GB2312" w:hint="eastAsia"/>
          <w:color w:val="auto"/>
          <w:spacing w:val="1"/>
          <w:sz w:val="32"/>
          <w:szCs w:val="32"/>
          <w:highlight w:val="none"/>
          <w:lang w:eastAsia="zh-CN"/>
        </w:rPr>
        <w:t>）</w:t>
      </w:r>
      <w:r>
        <w:rPr>
          <w:rFonts w:ascii="仿宋_GB2312" w:eastAsia="仿宋_GB2312" w:hAnsi="仿宋_GB2312" w:cs="仿宋_GB2312" w:hint="eastAsia"/>
          <w:color w:val="auto"/>
          <w:spacing w:val="9"/>
          <w:sz w:val="32"/>
          <w:szCs w:val="32"/>
          <w:highlight w:val="none"/>
        </w:rPr>
        <w:t>违反零售交易管理规定的其他不良</w:t>
      </w:r>
      <w:r>
        <w:rPr>
          <w:rFonts w:ascii="仿宋_GB2312" w:eastAsia="仿宋_GB2312" w:hAnsi="仿宋_GB2312" w:cs="仿宋_GB2312" w:hint="eastAsia"/>
          <w:color w:val="auto"/>
          <w:spacing w:val="1"/>
          <w:sz w:val="32"/>
          <w:szCs w:val="32"/>
          <w:highlight w:val="none"/>
        </w:rPr>
        <w:t>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1"/>
          <w:sz w:val="32"/>
          <w:szCs w:val="32"/>
          <w:highlight w:val="none"/>
        </w:rPr>
        <w:t>第八条</w:t>
      </w:r>
      <w:r>
        <w:rPr>
          <w:rFonts w:ascii="仿宋_GB2312" w:eastAsia="仿宋_GB2312" w:hAnsi="仿宋_GB2312" w:cs="仿宋_GB2312" w:hint="eastAsia"/>
          <w:b/>
          <w:bCs/>
          <w:color w:val="auto"/>
          <w:spacing w:val="11"/>
          <w:sz w:val="32"/>
          <w:szCs w:val="32"/>
          <w:highlight w:val="none"/>
          <w:lang w:val="en-US" w:eastAsia="zh-CN"/>
        </w:rPr>
        <w:t xml:space="preserve"> </w:t>
      </w:r>
      <w:r>
        <w:rPr>
          <w:rFonts w:ascii="仿宋_GB2312" w:eastAsia="仿宋_GB2312" w:hAnsi="仿宋_GB2312" w:cs="仿宋_GB2312" w:hint="eastAsia"/>
          <w:color w:val="auto"/>
          <w:spacing w:val="11"/>
          <w:sz w:val="32"/>
          <w:szCs w:val="32"/>
          <w:highlight w:val="none"/>
        </w:rPr>
        <w:t>售电公司、零售电力用户</w:t>
      </w:r>
      <w:r>
        <w:rPr>
          <w:rFonts w:ascii="仿宋_GB2312" w:eastAsia="仿宋_GB2312" w:hAnsi="仿宋_GB2312" w:cs="仿宋_GB2312" w:hint="eastAsia"/>
          <w:color w:val="auto"/>
          <w:spacing w:val="11"/>
          <w:sz w:val="32"/>
          <w:szCs w:val="32"/>
          <w:highlight w:val="none"/>
          <w:lang w:val="en-US" w:eastAsia="zh-CN"/>
        </w:rPr>
        <w:t>存在</w:t>
      </w:r>
      <w:r>
        <w:rPr>
          <w:rFonts w:ascii="仿宋_GB2312" w:eastAsia="仿宋_GB2312" w:hAnsi="仿宋_GB2312" w:cs="仿宋_GB2312" w:hint="eastAsia"/>
          <w:color w:val="auto"/>
          <w:spacing w:val="11"/>
          <w:sz w:val="32"/>
          <w:szCs w:val="32"/>
          <w:highlight w:val="none"/>
        </w:rPr>
        <w:t>下列违反结算管理</w:t>
      </w:r>
      <w:r>
        <w:rPr>
          <w:rFonts w:ascii="仿宋_GB2312" w:eastAsia="仿宋_GB2312" w:hAnsi="仿宋_GB2312" w:cs="仿宋_GB2312" w:hint="eastAsia"/>
          <w:color w:val="auto"/>
          <w:spacing w:val="3"/>
          <w:sz w:val="32"/>
          <w:szCs w:val="32"/>
          <w:highlight w:val="none"/>
        </w:rPr>
        <w:t>规定行为之一的，可按不良行为处理：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（一）未经授权替他人进行结算数据确认；</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（二）未及时足额缴纳市场化电费、交易手续费</w:t>
      </w:r>
      <w:r>
        <w:rPr>
          <w:rFonts w:ascii="仿宋_GB2312" w:eastAsia="仿宋_GB2312" w:hAnsi="仿宋_GB2312" w:cs="仿宋_GB2312" w:hint="eastAsia"/>
          <w:color w:val="auto"/>
          <w:spacing w:val="-8"/>
          <w:sz w:val="32"/>
          <w:szCs w:val="32"/>
          <w:highlight w:val="none"/>
        </w:rPr>
        <w:t>等费用；</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（三）违反</w:t>
      </w:r>
      <w:r>
        <w:rPr>
          <w:rFonts w:ascii="仿宋_GB2312" w:eastAsia="仿宋_GB2312" w:hAnsi="仿宋_GB2312" w:cs="仿宋_GB2312" w:hint="default"/>
          <w:color w:val="auto"/>
          <w:spacing w:val="-1"/>
          <w:sz w:val="32"/>
          <w:szCs w:val="32"/>
          <w:highlight w:val="none"/>
          <w:lang w:val="en-US"/>
        </w:rPr>
        <w:t>结算</w:t>
      </w:r>
      <w:r>
        <w:rPr>
          <w:rFonts w:ascii="仿宋_GB2312" w:eastAsia="仿宋_GB2312" w:hAnsi="仿宋_GB2312" w:cs="仿宋_GB2312" w:hint="eastAsia"/>
          <w:color w:val="auto"/>
          <w:spacing w:val="-1"/>
          <w:sz w:val="32"/>
          <w:szCs w:val="32"/>
          <w:highlight w:val="none"/>
        </w:rPr>
        <w:t>管理规</w:t>
      </w:r>
      <w:r>
        <w:rPr>
          <w:rFonts w:ascii="仿宋_GB2312" w:eastAsia="仿宋_GB2312" w:hAnsi="仿宋_GB2312" w:cs="仿宋_GB2312" w:hint="eastAsia"/>
          <w:color w:val="auto"/>
          <w:spacing w:val="6"/>
          <w:sz w:val="32"/>
          <w:szCs w:val="32"/>
          <w:highlight w:val="none"/>
        </w:rPr>
        <w:t>定的其他不良行为。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第九条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市场主体</w:t>
      </w:r>
      <w:r>
        <w:rPr>
          <w:rFonts w:ascii="仿宋_GB2312" w:eastAsia="仿宋_GB2312" w:hAnsi="仿宋_GB2312" w:cs="仿宋_GB2312" w:hint="eastAsia"/>
          <w:color w:val="auto"/>
          <w:spacing w:val="12"/>
          <w:sz w:val="32"/>
          <w:szCs w:val="32"/>
          <w:highlight w:val="none"/>
          <w:lang w:val="en-US" w:eastAsia="zh-CN"/>
        </w:rPr>
        <w:t>及从业人员存在</w:t>
      </w:r>
      <w:r>
        <w:rPr>
          <w:rFonts w:ascii="仿宋_GB2312" w:eastAsia="仿宋_GB2312" w:hAnsi="仿宋_GB2312" w:cs="仿宋_GB2312" w:hint="eastAsia"/>
          <w:color w:val="auto"/>
          <w:spacing w:val="12"/>
          <w:sz w:val="32"/>
          <w:szCs w:val="32"/>
          <w:highlight w:val="none"/>
        </w:rPr>
        <w:t>下列违反信用</w:t>
      </w:r>
      <w:r>
        <w:rPr>
          <w:rFonts w:ascii="仿宋_GB2312" w:eastAsia="仿宋_GB2312" w:hAnsi="仿宋_GB2312" w:cs="仿宋_GB2312" w:hint="eastAsia"/>
          <w:color w:val="auto"/>
          <w:spacing w:val="12"/>
          <w:sz w:val="32"/>
          <w:szCs w:val="32"/>
          <w:highlight w:val="none"/>
          <w:lang w:val="en-US" w:eastAsia="zh-CN"/>
        </w:rPr>
        <w:t>评价</w:t>
      </w:r>
      <w:r>
        <w:rPr>
          <w:rFonts w:ascii="仿宋_GB2312" w:eastAsia="仿宋_GB2312" w:hAnsi="仿宋_GB2312" w:cs="仿宋_GB2312" w:hint="eastAsia"/>
          <w:color w:val="auto"/>
          <w:spacing w:val="12"/>
          <w:sz w:val="32"/>
          <w:szCs w:val="32"/>
          <w:highlight w:val="none"/>
        </w:rPr>
        <w:t>管理规定行为之</w:t>
      </w:r>
      <w:r>
        <w:rPr>
          <w:rFonts w:ascii="仿宋_GB2312" w:eastAsia="仿宋_GB2312" w:hAnsi="仿宋_GB2312" w:cs="仿宋_GB2312" w:hint="eastAsia"/>
          <w:color w:val="auto"/>
          <w:spacing w:val="2"/>
          <w:sz w:val="32"/>
          <w:szCs w:val="32"/>
          <w:highlight w:val="none"/>
        </w:rPr>
        <w:t>一的，交易中心可按不良行为处理：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（一）参加信用评价时，提交虚假或伪造的信息和资料；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（二）未及时足额缴纳履约</w:t>
      </w:r>
      <w:r>
        <w:rPr>
          <w:rFonts w:ascii="仿宋_GB2312" w:eastAsia="仿宋_GB2312" w:hAnsi="仿宋_GB2312" w:cs="仿宋_GB2312" w:hint="eastAsia"/>
          <w:color w:val="auto"/>
          <w:spacing w:val="-2"/>
          <w:sz w:val="32"/>
          <w:szCs w:val="32"/>
          <w:highlight w:val="none"/>
          <w:lang w:val="en-US" w:eastAsia="zh-CN"/>
        </w:rPr>
        <w:t>保障凭证</w:t>
      </w:r>
      <w:r>
        <w:rPr>
          <w:rFonts w:ascii="仿宋_GB2312" w:eastAsia="仿宋_GB2312" w:hAnsi="仿宋_GB2312" w:cs="仿宋_GB2312" w:hint="eastAsia"/>
          <w:color w:val="auto"/>
          <w:spacing w:val="-2"/>
          <w:sz w:val="32"/>
          <w:szCs w:val="32"/>
          <w:highlight w:val="none"/>
        </w:rPr>
        <w:t>，即未按照履约风险管</w:t>
      </w:r>
      <w:r>
        <w:rPr>
          <w:rFonts w:ascii="仿宋_GB2312" w:eastAsia="仿宋_GB2312" w:hAnsi="仿宋_GB2312" w:cs="仿宋_GB2312" w:hint="eastAsia"/>
          <w:color w:val="auto"/>
          <w:spacing w:val="6"/>
          <w:sz w:val="32"/>
          <w:szCs w:val="32"/>
          <w:highlight w:val="none"/>
        </w:rPr>
        <w:t>控的要求缴纳</w:t>
      </w:r>
      <w:r>
        <w:rPr>
          <w:rFonts w:ascii="仿宋_GB2312" w:eastAsia="仿宋_GB2312" w:hAnsi="仿宋_GB2312" w:cs="仿宋_GB2312" w:hint="eastAsia"/>
          <w:color w:val="auto"/>
          <w:spacing w:val="6"/>
          <w:sz w:val="32"/>
          <w:szCs w:val="32"/>
          <w:highlight w:val="none"/>
          <w:lang w:val="en-US" w:eastAsia="zh-CN"/>
        </w:rPr>
        <w:t>履约保障凭证等</w:t>
      </w:r>
      <w:r>
        <w:rPr>
          <w:rFonts w:ascii="仿宋_GB2312" w:eastAsia="仿宋_GB2312" w:hAnsi="仿宋_GB2312" w:cs="仿宋_GB2312" w:hint="eastAsia"/>
          <w:color w:val="auto"/>
          <w:spacing w:val="6"/>
          <w:sz w:val="32"/>
          <w:szCs w:val="32"/>
          <w:highlight w:val="none"/>
        </w:rPr>
        <w:t>履约担保；</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（三）违反</w:t>
      </w:r>
      <w:r>
        <w:rPr>
          <w:rFonts w:ascii="仿宋_GB2312" w:eastAsia="仿宋_GB2312" w:hAnsi="仿宋_GB2312" w:cs="仿宋_GB2312" w:hint="eastAsia"/>
          <w:color w:val="auto"/>
          <w:spacing w:val="2"/>
          <w:sz w:val="32"/>
          <w:szCs w:val="32"/>
          <w:highlight w:val="none"/>
          <w:lang w:val="en-US" w:eastAsia="zh-CN"/>
        </w:rPr>
        <w:t>交易中发布的</w:t>
      </w:r>
      <w:r>
        <w:rPr>
          <w:rFonts w:ascii="仿宋_GB2312" w:eastAsia="仿宋_GB2312" w:hAnsi="仿宋_GB2312" w:cs="仿宋_GB2312" w:hint="eastAsia"/>
          <w:color w:val="auto"/>
          <w:spacing w:val="2"/>
          <w:sz w:val="32"/>
          <w:szCs w:val="32"/>
          <w:highlight w:val="none"/>
        </w:rPr>
        <w:t>信用风险管理规定的其他不良</w:t>
      </w:r>
      <w:r>
        <w:rPr>
          <w:rFonts w:ascii="仿宋_GB2312" w:eastAsia="仿宋_GB2312" w:hAnsi="仿宋_GB2312" w:cs="仿宋_GB2312" w:hint="eastAsia"/>
          <w:color w:val="auto"/>
          <w:spacing w:val="1"/>
          <w:sz w:val="32"/>
          <w:szCs w:val="32"/>
          <w:highlight w:val="none"/>
        </w:rPr>
        <w:t>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3"/>
          <w:sz w:val="32"/>
          <w:szCs w:val="32"/>
          <w:highlight w:val="none"/>
        </w:rPr>
        <w:t>第十条</w:t>
      </w:r>
      <w:r>
        <w:rPr>
          <w:rFonts w:ascii="仿宋_GB2312" w:eastAsia="仿宋_GB2312" w:hAnsi="仿宋_GB2312" w:cs="仿宋_GB2312" w:hint="eastAsia"/>
          <w:b/>
          <w:bCs/>
          <w:color w:val="auto"/>
          <w:spacing w:val="13"/>
          <w:sz w:val="32"/>
          <w:szCs w:val="32"/>
          <w:highlight w:val="none"/>
          <w:lang w:val="en-US" w:eastAsia="zh-CN"/>
        </w:rPr>
        <w:t xml:space="preserve"> </w:t>
      </w:r>
      <w:r>
        <w:rPr>
          <w:rFonts w:ascii="仿宋_GB2312" w:eastAsia="仿宋_GB2312" w:hAnsi="仿宋_GB2312" w:cs="仿宋_GB2312" w:hint="eastAsia"/>
          <w:color w:val="auto"/>
          <w:spacing w:val="13"/>
          <w:sz w:val="32"/>
          <w:szCs w:val="32"/>
          <w:highlight w:val="none"/>
        </w:rPr>
        <w:t>市场主体</w:t>
      </w:r>
      <w:r>
        <w:rPr>
          <w:rFonts w:ascii="仿宋_GB2312" w:eastAsia="仿宋_GB2312" w:hAnsi="仿宋_GB2312" w:cs="仿宋_GB2312" w:hint="eastAsia"/>
          <w:color w:val="auto"/>
          <w:spacing w:val="13"/>
          <w:sz w:val="32"/>
          <w:szCs w:val="32"/>
          <w:highlight w:val="none"/>
          <w:lang w:val="en-US" w:eastAsia="zh-CN"/>
        </w:rPr>
        <w:t>及从业人员存在</w:t>
      </w:r>
      <w:r>
        <w:rPr>
          <w:rFonts w:ascii="仿宋_GB2312" w:eastAsia="仿宋_GB2312" w:hAnsi="仿宋_GB2312" w:cs="仿宋_GB2312" w:hint="eastAsia"/>
          <w:color w:val="auto"/>
          <w:spacing w:val="13"/>
          <w:sz w:val="32"/>
          <w:szCs w:val="32"/>
          <w:highlight w:val="none"/>
        </w:rPr>
        <w:t>下列违反交易平台账号管理</w:t>
      </w:r>
      <w:r>
        <w:rPr>
          <w:rFonts w:ascii="仿宋_GB2312" w:eastAsia="仿宋_GB2312" w:hAnsi="仿宋_GB2312" w:cs="仿宋_GB2312" w:hint="eastAsia"/>
          <w:color w:val="auto"/>
          <w:spacing w:val="12"/>
          <w:sz w:val="32"/>
          <w:szCs w:val="32"/>
          <w:highlight w:val="none"/>
        </w:rPr>
        <w:t>规定行</w:t>
      </w:r>
      <w:r>
        <w:rPr>
          <w:rFonts w:ascii="仿宋_GB2312" w:eastAsia="仿宋_GB2312" w:hAnsi="仿宋_GB2312" w:cs="仿宋_GB2312" w:hint="eastAsia"/>
          <w:color w:val="auto"/>
          <w:spacing w:val="4"/>
          <w:sz w:val="32"/>
          <w:szCs w:val="32"/>
          <w:highlight w:val="none"/>
        </w:rPr>
        <w:t>为之一的，交易中心可按不良行为处理：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（一）不同批发市场主体的账号在同一</w:t>
      </w:r>
      <w:r>
        <w:rPr>
          <w:rFonts w:ascii="仿宋_GB2312" w:eastAsia="仿宋_GB2312" w:hAnsi="仿宋_GB2312" w:cs="仿宋_GB2312" w:hint="eastAsia"/>
          <w:color w:val="auto"/>
          <w:sz w:val="32"/>
          <w:szCs w:val="32"/>
          <w:highlight w:val="none"/>
        </w:rPr>
        <w:t>IP</w:t>
      </w:r>
      <w:r>
        <w:rPr>
          <w:rFonts w:ascii="仿宋_GB2312" w:eastAsia="仿宋_GB2312" w:hAnsi="仿宋_GB2312" w:cs="仿宋_GB2312" w:hint="eastAsia"/>
          <w:color w:val="auto"/>
          <w:spacing w:val="5"/>
          <w:sz w:val="32"/>
          <w:szCs w:val="32"/>
          <w:highlight w:val="none"/>
        </w:rPr>
        <w:t>地址或同一</w:t>
      </w:r>
      <w:r>
        <w:rPr>
          <w:rFonts w:ascii="仿宋_GB2312" w:eastAsia="仿宋_GB2312" w:hAnsi="仿宋_GB2312" w:cs="仿宋_GB2312" w:hint="eastAsia"/>
          <w:color w:val="auto"/>
          <w:sz w:val="32"/>
          <w:szCs w:val="32"/>
          <w:highlight w:val="none"/>
        </w:rPr>
        <w:t>MAC</w:t>
      </w:r>
      <w:r>
        <w:rPr>
          <w:rFonts w:ascii="仿宋_GB2312" w:eastAsia="仿宋_GB2312" w:hAnsi="仿宋_GB2312" w:cs="仿宋_GB2312" w:hint="eastAsia"/>
          <w:color w:val="auto"/>
          <w:spacing w:val="8"/>
          <w:sz w:val="32"/>
          <w:szCs w:val="32"/>
          <w:highlight w:val="none"/>
        </w:rPr>
        <w:t>地址登录</w:t>
      </w:r>
      <w:r>
        <w:rPr>
          <w:rFonts w:ascii="仿宋_GB2312" w:eastAsia="仿宋_GB2312" w:hAnsi="仿宋_GB2312" w:cs="仿宋_GB2312" w:hint="eastAsia"/>
          <w:color w:val="auto"/>
          <w:spacing w:val="5"/>
          <w:sz w:val="32"/>
          <w:szCs w:val="32"/>
          <w:highlight w:val="none"/>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（二）办理交易平台账号注册、变更相关业务时，提交</w:t>
      </w:r>
      <w:r>
        <w:rPr>
          <w:rFonts w:ascii="仿宋_GB2312" w:eastAsia="仿宋_GB2312" w:hAnsi="仿宋_GB2312" w:cs="仿宋_GB2312" w:hint="eastAsia"/>
          <w:color w:val="auto"/>
          <w:spacing w:val="8"/>
          <w:sz w:val="32"/>
          <w:szCs w:val="32"/>
          <w:highlight w:val="none"/>
        </w:rPr>
        <w:t>虚假或伪造的信息和资料；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（三）通过网络攻击、网络侵入等不正当手段访问交易</w:t>
      </w:r>
      <w:r>
        <w:rPr>
          <w:rFonts w:ascii="仿宋_GB2312" w:eastAsia="仿宋_GB2312" w:hAnsi="仿宋_GB2312" w:cs="仿宋_GB2312" w:hint="eastAsia"/>
          <w:color w:val="auto"/>
          <w:sz w:val="32"/>
          <w:szCs w:val="32"/>
          <w:highlight w:val="none"/>
        </w:rPr>
        <w:t>平台；</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w:t>
      </w:r>
      <w:r>
        <w:rPr>
          <w:rFonts w:ascii="仿宋_GB2312" w:eastAsia="仿宋_GB2312" w:hAnsi="仿宋_GB2312" w:cs="仿宋_GB2312" w:hint="eastAsia"/>
          <w:color w:val="auto"/>
          <w:spacing w:val="2"/>
          <w:sz w:val="32"/>
          <w:szCs w:val="32"/>
          <w:highlight w:val="none"/>
          <w:lang w:val="en-US" w:eastAsia="zh-CN"/>
        </w:rPr>
        <w:t>四</w:t>
      </w:r>
      <w:r>
        <w:rPr>
          <w:rFonts w:ascii="仿宋_GB2312" w:eastAsia="仿宋_GB2312" w:hAnsi="仿宋_GB2312" w:cs="仿宋_GB2312" w:hint="eastAsia"/>
          <w:color w:val="auto"/>
          <w:spacing w:val="2"/>
          <w:sz w:val="32"/>
          <w:szCs w:val="32"/>
          <w:highlight w:val="none"/>
        </w:rPr>
        <w:t>）违反交易平台账号管理规定的其他</w:t>
      </w:r>
      <w:r>
        <w:rPr>
          <w:rFonts w:ascii="仿宋_GB2312" w:eastAsia="仿宋_GB2312" w:hAnsi="仿宋_GB2312" w:cs="仿宋_GB2312" w:hint="eastAsia"/>
          <w:color w:val="auto"/>
          <w:spacing w:val="1"/>
          <w:sz w:val="32"/>
          <w:szCs w:val="32"/>
          <w:highlight w:val="none"/>
        </w:rPr>
        <w:t>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9"/>
          <w:sz w:val="32"/>
          <w:szCs w:val="32"/>
          <w:highlight w:val="none"/>
        </w:rPr>
        <w:t>第十一条</w:t>
      </w:r>
      <w:r>
        <w:rPr>
          <w:rFonts w:ascii="仿宋_GB2312" w:eastAsia="仿宋_GB2312" w:hAnsi="仿宋_GB2312" w:cs="仿宋_GB2312" w:hint="eastAsia"/>
          <w:b/>
          <w:bCs/>
          <w:color w:val="auto"/>
          <w:spacing w:val="9"/>
          <w:sz w:val="32"/>
          <w:szCs w:val="32"/>
          <w:highlight w:val="none"/>
          <w:lang w:val="en-US" w:eastAsia="zh-CN"/>
        </w:rPr>
        <w:t xml:space="preserve"> </w:t>
      </w:r>
      <w:r>
        <w:rPr>
          <w:rFonts w:ascii="仿宋_GB2312" w:eastAsia="仿宋_GB2312" w:hAnsi="仿宋_GB2312" w:cs="仿宋_GB2312" w:hint="eastAsia"/>
          <w:color w:val="auto"/>
          <w:spacing w:val="9"/>
          <w:sz w:val="32"/>
          <w:szCs w:val="32"/>
          <w:highlight w:val="none"/>
        </w:rPr>
        <w:t>市场主体</w:t>
      </w:r>
      <w:r>
        <w:rPr>
          <w:rFonts w:ascii="仿宋_GB2312" w:eastAsia="仿宋_GB2312" w:hAnsi="仿宋_GB2312" w:cs="仿宋_GB2312" w:hint="eastAsia"/>
          <w:color w:val="auto"/>
          <w:spacing w:val="9"/>
          <w:sz w:val="32"/>
          <w:szCs w:val="32"/>
          <w:highlight w:val="none"/>
          <w:lang w:val="en-US" w:eastAsia="zh-CN"/>
        </w:rPr>
        <w:t>及从业人员</w:t>
      </w:r>
      <w:r>
        <w:rPr>
          <w:rFonts w:ascii="仿宋_GB2312" w:eastAsia="仿宋_GB2312" w:hAnsi="仿宋_GB2312" w:cs="仿宋_GB2312" w:hint="eastAsia"/>
          <w:color w:val="auto"/>
          <w:spacing w:val="9"/>
          <w:sz w:val="32"/>
          <w:szCs w:val="32"/>
          <w:highlight w:val="none"/>
        </w:rPr>
        <w:t>有以下行为之一的，可按</w:t>
      </w:r>
      <w:r>
        <w:rPr>
          <w:rFonts w:ascii="仿宋_GB2312" w:eastAsia="仿宋_GB2312" w:hAnsi="仿宋_GB2312" w:cs="仿宋_GB2312" w:hint="eastAsia"/>
          <w:color w:val="auto"/>
          <w:spacing w:val="8"/>
          <w:sz w:val="32"/>
          <w:szCs w:val="32"/>
          <w:highlight w:val="none"/>
        </w:rPr>
        <w:t>不良行为</w:t>
      </w:r>
      <w:r>
        <w:rPr>
          <w:rFonts w:ascii="仿宋_GB2312" w:eastAsia="仿宋_GB2312" w:hAnsi="仿宋_GB2312" w:cs="仿宋_GB2312" w:hint="eastAsia"/>
          <w:color w:val="auto"/>
          <w:spacing w:val="-3"/>
          <w:sz w:val="32"/>
          <w:szCs w:val="32"/>
          <w:highlight w:val="none"/>
        </w:rPr>
        <w:t>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（一）违反保密义务的；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（二）拒绝、阻碍、拖延等不配合交易中心问询或核实</w:t>
      </w:r>
      <w:r>
        <w:rPr>
          <w:rFonts w:ascii="仿宋_GB2312" w:eastAsia="仿宋_GB2312" w:hAnsi="仿宋_GB2312" w:cs="仿宋_GB2312" w:hint="eastAsia"/>
          <w:color w:val="auto"/>
          <w:spacing w:val="7"/>
          <w:sz w:val="32"/>
          <w:szCs w:val="32"/>
          <w:highlight w:val="none"/>
        </w:rPr>
        <w:t>有关涉嫌存在不良行为事项的；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（三）无正当理由拒不回复或者不如实回复交易中心问询、核实，或者隐瞒事实真相、故意回避的；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（四）进行虚假性、误导性或者遗漏重要事实的陈述、</w:t>
      </w:r>
      <w:r>
        <w:rPr>
          <w:rFonts w:ascii="仿宋_GB2312" w:eastAsia="仿宋_GB2312" w:hAnsi="仿宋_GB2312" w:cs="仿宋_GB2312" w:hint="eastAsia"/>
          <w:color w:val="auto"/>
          <w:spacing w:val="5"/>
          <w:sz w:val="32"/>
          <w:szCs w:val="32"/>
          <w:highlight w:val="none"/>
        </w:rPr>
        <w:t>解释或者说明，或者提供虚假的文件、资料或者信息的；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6"/>
          <w:sz w:val="32"/>
          <w:szCs w:val="32"/>
          <w:highlight w:val="none"/>
          <w:lang w:val="en-US" w:eastAsia="zh-CN"/>
        </w:rPr>
      </w:pPr>
      <w:r>
        <w:rPr>
          <w:rFonts w:ascii="仿宋_GB2312" w:eastAsia="仿宋_GB2312" w:hAnsi="仿宋_GB2312" w:cs="仿宋_GB2312" w:hint="eastAsia"/>
          <w:color w:val="auto"/>
          <w:spacing w:val="-2"/>
          <w:sz w:val="32"/>
          <w:szCs w:val="32"/>
          <w:highlight w:val="none"/>
        </w:rPr>
        <w:t>（五）故意捏造其他市场不良行为事实，向交易中心作</w:t>
      </w:r>
      <w:r>
        <w:rPr>
          <w:rFonts w:ascii="仿宋_GB2312" w:eastAsia="仿宋_GB2312" w:hAnsi="仿宋_GB2312" w:cs="仿宋_GB2312" w:hint="eastAsia"/>
          <w:color w:val="auto"/>
          <w:spacing w:val="6"/>
          <w:sz w:val="32"/>
          <w:szCs w:val="32"/>
          <w:highlight w:val="none"/>
        </w:rPr>
        <w:t>虚假举报</w:t>
      </w:r>
      <w:r>
        <w:rPr>
          <w:rFonts w:ascii="仿宋_GB2312" w:eastAsia="仿宋_GB2312" w:hAnsi="仿宋_GB2312" w:cs="仿宋_GB2312" w:hint="eastAsia"/>
          <w:color w:val="auto"/>
          <w:spacing w:val="6"/>
          <w:sz w:val="32"/>
          <w:szCs w:val="32"/>
          <w:highlight w:val="none"/>
          <w:lang w:val="en-US" w:eastAsia="zh-CN"/>
        </w:rPr>
        <w:t>的；</w:t>
      </w:r>
    </w:p>
    <w:p>
      <w:pPr>
        <w:pStyle w:val="BodyText"/>
        <w:keepNext w:val="0"/>
        <w:keepLines w:val="0"/>
        <w:pageBreakBefore w:val="0"/>
        <w:widowControl w:val="0"/>
        <w:numPr>
          <w:ilvl w:val="255"/>
          <w:numId w:val="0"/>
        </w:numPr>
        <w:kinsoku/>
        <w:wordWrap/>
        <w:overflowPunct/>
        <w:topLinePunct w:val="0"/>
        <w:autoSpaceDE w:val="0"/>
        <w:autoSpaceDN w:val="0"/>
        <w:bidi w:val="0"/>
        <w:adjustRightInd w:val="0"/>
        <w:snapToGrid w:val="0"/>
        <w:spacing w:line="560" w:lineRule="exact"/>
        <w:ind w:left="0" w:right="0" w:firstLine="640" w:leftChars="0" w:firstLineChars="200"/>
        <w:jc w:val="both"/>
        <w:textAlignment w:val="baseline"/>
        <w:rPr>
          <w:rFonts w:ascii="仿宋_GB2312" w:eastAsia="仿宋_GB2312" w:hAnsi="仿宋_GB2312" w:cs="仿宋_GB2312" w:hint="eastAsia"/>
          <w:color w:val="auto"/>
          <w:spacing w:val="6"/>
          <w:sz w:val="32"/>
          <w:szCs w:val="32"/>
          <w:highlight w:val="none"/>
          <w:lang w:val="en-US" w:eastAsia="zh-CN"/>
        </w:rPr>
      </w:pPr>
      <w:r>
        <w:rPr>
          <w:rFonts w:ascii="仿宋_GB2312" w:eastAsia="仿宋_GB2312" w:hAnsi="仿宋_GB2312" w:cs="仿宋_GB2312" w:hint="eastAsia"/>
          <w:color w:val="auto"/>
          <w:spacing w:val="6"/>
          <w:sz w:val="32"/>
          <w:szCs w:val="32"/>
          <w:highlight w:val="none"/>
          <w:lang w:val="en-US" w:eastAsia="zh-CN"/>
        </w:rPr>
        <w:t>（六）被实名投诉举报且经核实，存在冒充政府、供电企业或交易中心工作人员身份，诱骗或引导电力用户参与市场交易的。</w:t>
      </w:r>
    </w:p>
    <w:p>
      <w:pPr>
        <w:pStyle w:val="BodyText"/>
        <w:keepNext w:val="0"/>
        <w:keepLines w:val="0"/>
        <w:pageBreakBefore w:val="0"/>
        <w:widowControl w:val="0"/>
        <w:numPr>
          <w:ilvl w:val="255"/>
          <w:numId w:val="0"/>
        </w:numPr>
        <w:kinsoku/>
        <w:wordWrap/>
        <w:overflowPunct/>
        <w:topLinePunct w:val="0"/>
        <w:autoSpaceDE w:val="0"/>
        <w:autoSpaceDN w:val="0"/>
        <w:bidi w:val="0"/>
        <w:adjustRightInd w:val="0"/>
        <w:snapToGrid w:val="0"/>
        <w:spacing w:line="560" w:lineRule="exact"/>
        <w:ind w:left="0" w:right="0" w:firstLine="0" w:leftChars="0" w:firstLineChars="0"/>
        <w:jc w:val="center"/>
        <w:textAlignment w:val="baseline"/>
        <w:rPr>
          <w:rFonts w:ascii="黑体" w:eastAsia="黑体" w:hAnsi="黑体" w:cs="黑体" w:hint="eastAsia"/>
          <w:b/>
          <w:bCs/>
          <w:color w:val="auto"/>
          <w:spacing w:val="9"/>
          <w:sz w:val="32"/>
          <w:szCs w:val="32"/>
          <w:highlight w:val="none"/>
          <w:lang w:val="en-US" w:eastAsia="zh-CN"/>
        </w:rPr>
      </w:pPr>
      <w:r>
        <w:rPr>
          <w:rFonts w:ascii="黑体" w:eastAsia="黑体" w:hAnsi="黑体" w:cs="黑体" w:hint="eastAsia"/>
          <w:b/>
          <w:bCs/>
          <w:color w:val="auto"/>
          <w:spacing w:val="9"/>
          <w:sz w:val="32"/>
          <w:szCs w:val="32"/>
          <w:highlight w:val="none"/>
          <w:lang w:val="en-US" w:eastAsia="zh-CN"/>
        </w:rPr>
        <w:t>第三章 不良行为监测</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3"/>
          <w:sz w:val="32"/>
          <w:szCs w:val="32"/>
          <w:highlight w:val="none"/>
        </w:rPr>
        <w:t>第十二条</w:t>
      </w:r>
      <w:r>
        <w:rPr>
          <w:rFonts w:ascii="仿宋_GB2312" w:eastAsia="仿宋_GB2312" w:hAnsi="仿宋_GB2312" w:cs="仿宋_GB2312" w:hint="eastAsia"/>
          <w:b/>
          <w:bCs/>
          <w:color w:val="auto"/>
          <w:spacing w:val="13"/>
          <w:sz w:val="32"/>
          <w:szCs w:val="32"/>
          <w:highlight w:val="none"/>
          <w:lang w:val="en-US" w:eastAsia="zh-CN"/>
        </w:rPr>
        <w:t xml:space="preserve"> </w:t>
      </w:r>
      <w:r>
        <w:rPr>
          <w:rFonts w:ascii="仿宋_GB2312" w:eastAsia="仿宋_GB2312" w:hAnsi="仿宋_GB2312" w:cs="仿宋_GB2312" w:hint="eastAsia"/>
          <w:color w:val="auto"/>
          <w:spacing w:val="13"/>
          <w:sz w:val="32"/>
          <w:szCs w:val="32"/>
          <w:highlight w:val="none"/>
        </w:rPr>
        <w:t>交易中心</w:t>
      </w:r>
      <w:r>
        <w:rPr>
          <w:rFonts w:ascii="仿宋_GB2312" w:eastAsia="仿宋_GB2312" w:hAnsi="仿宋_GB2312" w:cs="仿宋_GB2312" w:hint="eastAsia"/>
          <w:color w:val="auto"/>
          <w:spacing w:val="13"/>
          <w:sz w:val="32"/>
          <w:szCs w:val="32"/>
          <w:highlight w:val="none"/>
          <w:lang w:val="en-US" w:eastAsia="zh-CN"/>
        </w:rPr>
        <w:t>可通过电力市场数据分析、市场主体投诉和举报、能源监管机构或政府主管部门转办等方式监测市场主体及从业人员是否涉嫌存在不良行为。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3"/>
          <w:sz w:val="32"/>
          <w:szCs w:val="32"/>
          <w:highlight w:val="none"/>
          <w:lang w:val="en-US" w:eastAsia="zh-CN"/>
        </w:rPr>
      </w:pPr>
      <w:r>
        <w:rPr>
          <w:rFonts w:ascii="仿宋_GB2312" w:eastAsia="仿宋_GB2312" w:hAnsi="仿宋_GB2312" w:cs="仿宋_GB2312" w:hint="eastAsia"/>
          <w:b/>
          <w:bCs/>
          <w:color w:val="auto"/>
          <w:spacing w:val="13"/>
          <w:sz w:val="32"/>
          <w:szCs w:val="32"/>
          <w:highlight w:val="none"/>
        </w:rPr>
        <w:t>第十</w:t>
      </w:r>
      <w:r>
        <w:rPr>
          <w:rFonts w:ascii="仿宋_GB2312" w:eastAsia="仿宋_GB2312" w:hAnsi="仿宋_GB2312" w:cs="仿宋_GB2312" w:hint="eastAsia"/>
          <w:b/>
          <w:bCs/>
          <w:color w:val="auto"/>
          <w:spacing w:val="13"/>
          <w:sz w:val="32"/>
          <w:szCs w:val="32"/>
          <w:highlight w:val="none"/>
          <w:lang w:val="en-US" w:eastAsia="zh-CN"/>
        </w:rPr>
        <w:t>三</w:t>
      </w:r>
      <w:r>
        <w:rPr>
          <w:rFonts w:ascii="仿宋_GB2312" w:eastAsia="仿宋_GB2312" w:hAnsi="仿宋_GB2312" w:cs="仿宋_GB2312" w:hint="eastAsia"/>
          <w:b/>
          <w:bCs/>
          <w:color w:val="auto"/>
          <w:spacing w:val="13"/>
          <w:sz w:val="32"/>
          <w:szCs w:val="32"/>
          <w:highlight w:val="none"/>
        </w:rPr>
        <w:t>条</w:t>
      </w:r>
      <w:r>
        <w:rPr>
          <w:rFonts w:ascii="仿宋_GB2312" w:eastAsia="仿宋_GB2312" w:hAnsi="仿宋_GB2312" w:cs="仿宋_GB2312" w:hint="eastAsia"/>
          <w:b/>
          <w:bCs/>
          <w:color w:val="auto"/>
          <w:spacing w:val="13"/>
          <w:sz w:val="32"/>
          <w:szCs w:val="32"/>
          <w:highlight w:val="none"/>
          <w:lang w:val="en-US" w:eastAsia="zh-CN"/>
        </w:rPr>
        <w:t xml:space="preserve"> </w:t>
      </w:r>
      <w:r>
        <w:rPr>
          <w:rFonts w:ascii="仿宋_GB2312" w:eastAsia="仿宋_GB2312" w:hAnsi="仿宋_GB2312" w:cs="仿宋_GB2312" w:hint="eastAsia"/>
          <w:color w:val="auto"/>
          <w:spacing w:val="13"/>
          <w:sz w:val="32"/>
          <w:szCs w:val="32"/>
          <w:highlight w:val="none"/>
          <w:lang w:val="en-US" w:eastAsia="zh-CN"/>
        </w:rPr>
        <w:t>电力市场数据来源包括：</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1"/>
          <w:sz w:val="32"/>
          <w:szCs w:val="32"/>
          <w:highlight w:val="none"/>
        </w:rPr>
      </w:pPr>
      <w:r>
        <w:rPr>
          <w:rFonts w:ascii="仿宋_GB2312" w:eastAsia="仿宋_GB2312" w:hAnsi="仿宋_GB2312" w:cs="仿宋_GB2312" w:hint="eastAsia"/>
          <w:color w:val="auto"/>
          <w:spacing w:val="-3"/>
          <w:sz w:val="32"/>
          <w:szCs w:val="32"/>
          <w:highlight w:val="none"/>
        </w:rPr>
        <w:t>（一）</w:t>
      </w:r>
      <w:r>
        <w:rPr>
          <w:rFonts w:ascii="仿宋_GB2312" w:eastAsia="仿宋_GB2312" w:hAnsi="仿宋_GB2312" w:cs="仿宋_GB2312" w:hint="eastAsia"/>
          <w:color w:val="auto"/>
          <w:spacing w:val="-3"/>
          <w:sz w:val="32"/>
          <w:szCs w:val="32"/>
          <w:highlight w:val="none"/>
          <w:lang w:val="en-US" w:eastAsia="zh-CN"/>
        </w:rPr>
        <w:t>海南电力交易平台系统数据</w:t>
      </w:r>
      <w:r>
        <w:rPr>
          <w:rFonts w:ascii="仿宋_GB2312" w:eastAsia="仿宋_GB2312" w:hAnsi="仿宋_GB2312" w:cs="仿宋_GB2312" w:hint="eastAsia"/>
          <w:color w:val="auto"/>
          <w:spacing w:val="6"/>
          <w:sz w:val="32"/>
          <w:szCs w:val="32"/>
          <w:highlight w:val="none"/>
        </w:rPr>
        <w:t>；</w:t>
      </w:r>
    </w:p>
    <w:p>
      <w:pPr>
        <w:pStyle w:val="BodyText"/>
        <w:keepNext w:val="0"/>
        <w:keepLines w:val="0"/>
        <w:pageBreakBefore w:val="0"/>
        <w:widowControl w:val="0"/>
        <w:numPr>
          <w:ilvl w:val="255"/>
          <w:numId w:val="0"/>
        </w:numPr>
        <w:kinsoku/>
        <w:wordWrap/>
        <w:overflowPunct/>
        <w:topLinePunct w:val="0"/>
        <w:autoSpaceDE w:val="0"/>
        <w:autoSpaceDN w:val="0"/>
        <w:bidi w:val="0"/>
        <w:adjustRightInd w:val="0"/>
        <w:snapToGrid w:val="0"/>
        <w:spacing w:line="560" w:lineRule="exact"/>
        <w:ind w:left="0" w:right="0" w:firstLine="640" w:leftChars="0" w:firstLineChars="200"/>
        <w:jc w:val="both"/>
        <w:textAlignment w:val="baseline"/>
        <w:rPr>
          <w:rFonts w:ascii="仿宋_GB2312" w:eastAsia="仿宋_GB2312" w:hAnsi="仿宋_GB2312" w:cs="仿宋_GB2312" w:hint="eastAsia"/>
          <w:color w:val="auto"/>
          <w:spacing w:val="-1"/>
          <w:sz w:val="32"/>
          <w:szCs w:val="32"/>
          <w:highlight w:val="none"/>
          <w:lang w:val="en-US" w:eastAsia="zh-CN"/>
        </w:rPr>
      </w:pPr>
      <w:r>
        <w:rPr>
          <w:rFonts w:ascii="仿宋_GB2312" w:eastAsia="仿宋_GB2312" w:hAnsi="仿宋_GB2312" w:cs="仿宋_GB2312" w:hint="eastAsia"/>
          <w:color w:val="auto"/>
          <w:spacing w:val="-1"/>
          <w:sz w:val="32"/>
          <w:szCs w:val="32"/>
          <w:highlight w:val="none"/>
          <w:lang w:val="en-US" w:eastAsia="zh-CN"/>
        </w:rPr>
        <w:t>（二）市场运营相关分析报告；</w:t>
      </w:r>
    </w:p>
    <w:p>
      <w:pPr>
        <w:pStyle w:val="BodyText"/>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1"/>
          <w:sz w:val="32"/>
          <w:szCs w:val="32"/>
          <w:highlight w:val="none"/>
          <w:lang w:val="en-US" w:eastAsia="zh-CN"/>
        </w:rPr>
      </w:pPr>
      <w:r>
        <w:rPr>
          <w:rFonts w:ascii="仿宋_GB2312" w:eastAsia="仿宋_GB2312" w:hAnsi="仿宋_GB2312" w:cs="仿宋_GB2312" w:hint="eastAsia"/>
          <w:color w:val="auto"/>
          <w:spacing w:val="-1"/>
          <w:sz w:val="32"/>
          <w:szCs w:val="32"/>
          <w:highlight w:val="none"/>
          <w:lang w:val="en-US" w:eastAsia="zh-CN"/>
        </w:rPr>
        <w:t>电力市场其他有效数据来源。</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b w:val="0"/>
          <w:bCs w:val="0"/>
          <w:color w:val="auto"/>
          <w:spacing w:val="13"/>
          <w:sz w:val="32"/>
          <w:szCs w:val="32"/>
          <w:highlight w:val="none"/>
          <w:lang w:val="en-US" w:eastAsia="zh-CN"/>
        </w:rPr>
      </w:pPr>
      <w:r>
        <w:rPr>
          <w:rFonts w:ascii="仿宋_GB2312" w:eastAsia="仿宋_GB2312" w:hAnsi="仿宋_GB2312" w:cs="仿宋_GB2312" w:hint="eastAsia"/>
          <w:b/>
          <w:bCs/>
          <w:color w:val="auto"/>
          <w:spacing w:val="13"/>
          <w:sz w:val="32"/>
          <w:szCs w:val="32"/>
          <w:highlight w:val="none"/>
          <w:lang w:val="en-US" w:eastAsia="zh-CN"/>
        </w:rPr>
        <w:t xml:space="preserve">第十四条 </w:t>
      </w:r>
      <w:r>
        <w:rPr>
          <w:rFonts w:ascii="仿宋_GB2312" w:eastAsia="仿宋_GB2312" w:hAnsi="仿宋_GB2312" w:cs="仿宋_GB2312" w:hint="eastAsia"/>
          <w:b w:val="0"/>
          <w:bCs w:val="0"/>
          <w:color w:val="auto"/>
          <w:spacing w:val="13"/>
          <w:sz w:val="32"/>
          <w:szCs w:val="32"/>
          <w:highlight w:val="none"/>
          <w:lang w:val="en-US" w:eastAsia="zh-CN"/>
        </w:rPr>
        <w:t>市场主体投诉和举报包括市场主体实名通过电力交易平台、服务热线、电子邮件、现场提交材料等方式提出的投诉。</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b w:val="0"/>
          <w:bCs w:val="0"/>
          <w:color w:val="auto"/>
          <w:spacing w:val="13"/>
          <w:sz w:val="32"/>
          <w:szCs w:val="32"/>
          <w:highlight w:val="none"/>
          <w:lang w:val="en-US" w:eastAsia="zh-CN"/>
        </w:rPr>
      </w:pPr>
      <w:r>
        <w:rPr>
          <w:rFonts w:ascii="仿宋_GB2312" w:eastAsia="仿宋_GB2312" w:hAnsi="仿宋_GB2312" w:cs="仿宋_GB2312" w:hint="eastAsia"/>
          <w:b/>
          <w:bCs/>
          <w:color w:val="auto"/>
          <w:spacing w:val="13"/>
          <w:sz w:val="32"/>
          <w:szCs w:val="32"/>
          <w:highlight w:val="none"/>
          <w:lang w:val="en-US" w:eastAsia="zh-CN"/>
        </w:rPr>
        <w:t xml:space="preserve">第十五条 </w:t>
      </w:r>
      <w:r>
        <w:rPr>
          <w:rFonts w:ascii="仿宋_GB2312" w:eastAsia="仿宋_GB2312" w:hAnsi="仿宋_GB2312" w:cs="仿宋_GB2312" w:hint="eastAsia"/>
          <w:b w:val="0"/>
          <w:bCs w:val="0"/>
          <w:color w:val="auto"/>
          <w:spacing w:val="13"/>
          <w:sz w:val="32"/>
          <w:szCs w:val="32"/>
          <w:highlight w:val="none"/>
          <w:lang w:val="en-US" w:eastAsia="zh-CN"/>
        </w:rPr>
        <w:t>能源监管机构、政府主管部门转办的调查事件和调查案件。</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b w:val="0"/>
          <w:bCs w:val="0"/>
          <w:color w:val="auto"/>
          <w:spacing w:val="13"/>
          <w:sz w:val="32"/>
          <w:szCs w:val="32"/>
          <w:highlight w:val="none"/>
          <w:lang w:val="en-US" w:eastAsia="zh-CN"/>
        </w:rPr>
      </w:pPr>
      <w:r>
        <w:rPr>
          <w:rFonts w:ascii="仿宋_GB2312" w:eastAsia="仿宋_GB2312" w:hAnsi="仿宋_GB2312" w:cs="仿宋_GB2312" w:hint="eastAsia"/>
          <w:b/>
          <w:bCs/>
          <w:color w:val="auto"/>
          <w:spacing w:val="13"/>
          <w:sz w:val="32"/>
          <w:szCs w:val="32"/>
          <w:highlight w:val="none"/>
          <w:lang w:val="en-US" w:eastAsia="zh-CN"/>
        </w:rPr>
        <w:t xml:space="preserve">第十六条 </w:t>
      </w:r>
      <w:r>
        <w:rPr>
          <w:rFonts w:ascii="仿宋_GB2312" w:eastAsia="仿宋_GB2312" w:hAnsi="仿宋_GB2312" w:cs="仿宋_GB2312" w:hint="eastAsia"/>
          <w:b w:val="0"/>
          <w:bCs w:val="0"/>
          <w:color w:val="auto"/>
          <w:spacing w:val="13"/>
          <w:sz w:val="32"/>
          <w:szCs w:val="32"/>
          <w:highlight w:val="none"/>
          <w:lang w:val="en-US" w:eastAsia="zh-CN"/>
        </w:rPr>
        <w:t>其他监测信息来源包括司法机关协助调查、政府部门处罚、人民法院司法判决等。</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b w:val="0"/>
          <w:bCs w:val="0"/>
          <w:color w:val="auto"/>
          <w:spacing w:val="13"/>
          <w:sz w:val="32"/>
          <w:szCs w:val="32"/>
          <w:highlight w:val="none"/>
          <w:lang w:val="en-US" w:eastAsia="zh-CN"/>
        </w:rPr>
      </w:pPr>
      <w:r>
        <w:rPr>
          <w:rFonts w:ascii="仿宋_GB2312" w:eastAsia="仿宋_GB2312" w:hAnsi="仿宋_GB2312" w:cs="仿宋_GB2312" w:hint="eastAsia"/>
          <w:b/>
          <w:bCs/>
          <w:color w:val="auto"/>
          <w:spacing w:val="13"/>
          <w:sz w:val="32"/>
          <w:szCs w:val="32"/>
          <w:highlight w:val="none"/>
          <w:lang w:val="en-US" w:eastAsia="zh-CN"/>
        </w:rPr>
        <w:t xml:space="preserve">第十七条 </w:t>
      </w:r>
      <w:r>
        <w:rPr>
          <w:rFonts w:ascii="仿宋_GB2312" w:eastAsia="仿宋_GB2312" w:hAnsi="仿宋_GB2312" w:cs="仿宋_GB2312" w:hint="eastAsia"/>
          <w:b w:val="0"/>
          <w:bCs w:val="0"/>
          <w:color w:val="auto"/>
          <w:spacing w:val="13"/>
          <w:sz w:val="32"/>
          <w:szCs w:val="32"/>
          <w:highlight w:val="none"/>
          <w:lang w:val="en-US" w:eastAsia="zh-CN"/>
        </w:rPr>
        <w:t>交易中心建立不良行为监测定期分析机制，每半年汇总分析监测到的不良行为。</w:t>
      </w:r>
    </w:p>
    <w:p>
      <w:pPr>
        <w:pStyle w:val="BodyText"/>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0" w:leftChars="0" w:rightChars="0" w:firstLineChars="0"/>
        <w:jc w:val="center"/>
        <w:textAlignment w:val="baseline"/>
        <w:rPr>
          <w:rFonts w:ascii="仿宋_GB2312" w:eastAsia="仿宋_GB2312" w:hAnsi="仿宋_GB2312" w:cs="仿宋_GB2312" w:hint="eastAsia"/>
          <w:b/>
          <w:bCs/>
          <w:color w:val="auto"/>
          <w:spacing w:val="13"/>
          <w:sz w:val="32"/>
          <w:szCs w:val="32"/>
          <w:highlight w:val="none"/>
        </w:rPr>
      </w:pPr>
      <w:r>
        <w:rPr>
          <w:rFonts w:ascii="黑体" w:eastAsia="黑体" w:hAnsi="黑体" w:cs="黑体" w:hint="eastAsia"/>
          <w:b/>
          <w:bCs/>
          <w:color w:val="auto"/>
          <w:spacing w:val="9"/>
          <w:sz w:val="32"/>
          <w:szCs w:val="32"/>
          <w:highlight w:val="none"/>
          <w:lang w:val="en-US" w:eastAsia="zh-CN"/>
        </w:rPr>
        <w:t>第四章 不良行为认定及处理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3"/>
          <w:sz w:val="32"/>
          <w:szCs w:val="32"/>
          <w:highlight w:val="none"/>
        </w:rPr>
        <w:t>第十</w:t>
      </w:r>
      <w:r>
        <w:rPr>
          <w:rFonts w:ascii="仿宋_GB2312" w:eastAsia="仿宋_GB2312" w:hAnsi="仿宋_GB2312" w:cs="仿宋_GB2312" w:hint="eastAsia"/>
          <w:b/>
          <w:bCs/>
          <w:color w:val="auto"/>
          <w:spacing w:val="13"/>
          <w:sz w:val="32"/>
          <w:szCs w:val="32"/>
          <w:highlight w:val="none"/>
          <w:lang w:val="en-US" w:eastAsia="zh-CN"/>
        </w:rPr>
        <w:t>八</w:t>
      </w:r>
      <w:r>
        <w:rPr>
          <w:rFonts w:ascii="仿宋_GB2312" w:eastAsia="仿宋_GB2312" w:hAnsi="仿宋_GB2312" w:cs="仿宋_GB2312" w:hint="eastAsia"/>
          <w:b/>
          <w:bCs/>
          <w:color w:val="auto"/>
          <w:spacing w:val="13"/>
          <w:sz w:val="32"/>
          <w:szCs w:val="32"/>
          <w:highlight w:val="none"/>
        </w:rPr>
        <w:t>条</w:t>
      </w:r>
      <w:r>
        <w:rPr>
          <w:rFonts w:ascii="仿宋_GB2312" w:eastAsia="仿宋_GB2312" w:hAnsi="仿宋_GB2312" w:cs="仿宋_GB2312" w:hint="eastAsia"/>
          <w:b/>
          <w:bCs/>
          <w:color w:val="auto"/>
          <w:spacing w:val="13"/>
          <w:sz w:val="32"/>
          <w:szCs w:val="32"/>
          <w:highlight w:val="none"/>
          <w:lang w:val="en-US" w:eastAsia="zh-CN"/>
        </w:rPr>
        <w:t xml:space="preserve"> </w:t>
      </w:r>
      <w:r>
        <w:rPr>
          <w:rFonts w:ascii="仿宋_GB2312" w:eastAsia="仿宋_GB2312" w:hAnsi="仿宋_GB2312" w:cs="仿宋_GB2312" w:hint="eastAsia"/>
          <w:color w:val="auto"/>
          <w:spacing w:val="13"/>
          <w:sz w:val="32"/>
          <w:szCs w:val="32"/>
          <w:highlight w:val="none"/>
        </w:rPr>
        <w:t>交易中心发现市场主体涉嫌存在本</w:t>
      </w:r>
      <w:r>
        <w:rPr>
          <w:rFonts w:ascii="仿宋_GB2312" w:eastAsia="仿宋_GB2312" w:hAnsi="仿宋_GB2312" w:cs="仿宋_GB2312" w:hint="eastAsia"/>
          <w:color w:val="auto"/>
          <w:spacing w:val="12"/>
          <w:sz w:val="32"/>
          <w:szCs w:val="32"/>
          <w:highlight w:val="none"/>
        </w:rPr>
        <w:t>办法规定</w:t>
      </w:r>
      <w:r>
        <w:rPr>
          <w:rFonts w:ascii="仿宋_GB2312" w:eastAsia="仿宋_GB2312" w:hAnsi="仿宋_GB2312" w:cs="仿宋_GB2312" w:hint="eastAsia"/>
          <w:color w:val="auto"/>
          <w:spacing w:val="4"/>
          <w:sz w:val="32"/>
          <w:szCs w:val="32"/>
          <w:highlight w:val="none"/>
        </w:rPr>
        <w:t>的不良行为时，可采取以下方式进行问询和核实：</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3"/>
          <w:sz w:val="32"/>
          <w:szCs w:val="32"/>
          <w:highlight w:val="none"/>
        </w:rPr>
        <w:t>（一）就有关事项通过录音电话、电子邮件、书面</w:t>
      </w:r>
      <w:r>
        <w:rPr>
          <w:rFonts w:ascii="仿宋_GB2312" w:eastAsia="仿宋_GB2312" w:hAnsi="仿宋_GB2312" w:cs="仿宋_GB2312" w:hint="eastAsia"/>
          <w:color w:val="auto"/>
          <w:spacing w:val="-3"/>
          <w:sz w:val="32"/>
          <w:szCs w:val="32"/>
          <w:highlight w:val="none"/>
          <w:lang w:eastAsia="zh-CN"/>
        </w:rPr>
        <w:t>、</w:t>
      </w:r>
      <w:r>
        <w:rPr>
          <w:rFonts w:ascii="仿宋_GB2312" w:eastAsia="仿宋_GB2312" w:hAnsi="仿宋_GB2312" w:cs="仿宋_GB2312" w:hint="eastAsia"/>
          <w:color w:val="auto"/>
          <w:spacing w:val="-3"/>
          <w:sz w:val="32"/>
          <w:szCs w:val="32"/>
          <w:highlight w:val="none"/>
          <w:lang w:val="en-US" w:eastAsia="zh-CN"/>
        </w:rPr>
        <w:t>当面约谈</w:t>
      </w:r>
      <w:r>
        <w:rPr>
          <w:rFonts w:ascii="仿宋_GB2312" w:eastAsia="仿宋_GB2312" w:hAnsi="仿宋_GB2312" w:cs="仿宋_GB2312" w:hint="eastAsia"/>
          <w:color w:val="auto"/>
          <w:spacing w:val="-3"/>
          <w:sz w:val="32"/>
          <w:szCs w:val="32"/>
          <w:highlight w:val="none"/>
        </w:rPr>
        <w:t>等方</w:t>
      </w:r>
      <w:r>
        <w:rPr>
          <w:rFonts w:ascii="仿宋_GB2312" w:eastAsia="仿宋_GB2312" w:hAnsi="仿宋_GB2312" w:cs="仿宋_GB2312" w:hint="eastAsia"/>
          <w:color w:val="auto"/>
          <w:spacing w:val="6"/>
          <w:sz w:val="32"/>
          <w:szCs w:val="32"/>
          <w:highlight w:val="none"/>
        </w:rPr>
        <w:t>式询问有关市场主体及其工作人员；</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（二）通过交易平台查阅、复制与市场交易活动有关的</w:t>
      </w:r>
      <w:r>
        <w:rPr>
          <w:rFonts w:ascii="仿宋_GB2312" w:eastAsia="仿宋_GB2312" w:hAnsi="仿宋_GB2312" w:cs="仿宋_GB2312" w:hint="eastAsia"/>
          <w:color w:val="auto"/>
          <w:spacing w:val="-1"/>
          <w:sz w:val="32"/>
          <w:szCs w:val="32"/>
          <w:highlight w:val="none"/>
        </w:rPr>
        <w:t>信息、资料；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3"/>
          <w:sz w:val="32"/>
          <w:szCs w:val="32"/>
          <w:highlight w:val="none"/>
        </w:rPr>
        <w:t>（三）要求市场主体及其工作人员就有关</w:t>
      </w:r>
      <w:r>
        <w:rPr>
          <w:rFonts w:ascii="仿宋_GB2312" w:eastAsia="仿宋_GB2312" w:hAnsi="仿宋_GB2312" w:cs="仿宋_GB2312" w:hint="eastAsia"/>
          <w:color w:val="auto"/>
          <w:spacing w:val="12"/>
          <w:sz w:val="32"/>
          <w:szCs w:val="32"/>
          <w:highlight w:val="none"/>
        </w:rPr>
        <w:t>事项进行陈</w:t>
      </w:r>
      <w:r>
        <w:rPr>
          <w:rFonts w:ascii="仿宋_GB2312" w:eastAsia="仿宋_GB2312" w:hAnsi="仿宋_GB2312" w:cs="仿宋_GB2312" w:hint="eastAsia"/>
          <w:color w:val="auto"/>
          <w:spacing w:val="6"/>
          <w:sz w:val="32"/>
          <w:szCs w:val="32"/>
          <w:highlight w:val="none"/>
        </w:rPr>
        <w:t>述、解释或说明并提供有关材料；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（四）国家有关政策文件规定</w:t>
      </w:r>
      <w:r>
        <w:rPr>
          <w:rFonts w:ascii="仿宋_GB2312" w:eastAsia="仿宋_GB2312" w:hAnsi="仿宋_GB2312" w:cs="仿宋_GB2312" w:hint="eastAsia"/>
          <w:color w:val="auto"/>
          <w:spacing w:val="2"/>
          <w:sz w:val="32"/>
          <w:szCs w:val="32"/>
          <w:highlight w:val="none"/>
          <w:lang w:val="en-US" w:eastAsia="zh-CN"/>
        </w:rPr>
        <w:t>的</w:t>
      </w:r>
      <w:r>
        <w:rPr>
          <w:rFonts w:ascii="仿宋_GB2312" w:eastAsia="仿宋_GB2312" w:hAnsi="仿宋_GB2312" w:cs="仿宋_GB2312" w:hint="eastAsia"/>
          <w:color w:val="auto"/>
          <w:spacing w:val="2"/>
          <w:sz w:val="32"/>
          <w:szCs w:val="32"/>
          <w:highlight w:val="none"/>
        </w:rPr>
        <w:t>可采取的</w:t>
      </w:r>
      <w:r>
        <w:rPr>
          <w:rFonts w:ascii="仿宋_GB2312" w:eastAsia="仿宋_GB2312" w:hAnsi="仿宋_GB2312" w:cs="仿宋_GB2312" w:hint="eastAsia"/>
          <w:color w:val="auto"/>
          <w:spacing w:val="2"/>
          <w:sz w:val="32"/>
          <w:szCs w:val="32"/>
          <w:highlight w:val="none"/>
          <w:lang w:val="en-US" w:eastAsia="zh-CN"/>
        </w:rPr>
        <w:t>其他</w:t>
      </w:r>
      <w:r>
        <w:rPr>
          <w:rFonts w:ascii="仿宋_GB2312" w:eastAsia="仿宋_GB2312" w:hAnsi="仿宋_GB2312" w:cs="仿宋_GB2312" w:hint="eastAsia"/>
          <w:color w:val="auto"/>
          <w:spacing w:val="2"/>
          <w:sz w:val="32"/>
          <w:szCs w:val="32"/>
          <w:highlight w:val="none"/>
        </w:rPr>
        <w:t>合规问</w:t>
      </w:r>
      <w:r>
        <w:rPr>
          <w:rFonts w:ascii="仿宋_GB2312" w:eastAsia="仿宋_GB2312" w:hAnsi="仿宋_GB2312" w:cs="仿宋_GB2312" w:hint="eastAsia"/>
          <w:color w:val="auto"/>
          <w:spacing w:val="6"/>
          <w:sz w:val="32"/>
          <w:szCs w:val="32"/>
          <w:highlight w:val="none"/>
        </w:rPr>
        <w:t>询与核实方式。</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第十</w:t>
      </w:r>
      <w:r>
        <w:rPr>
          <w:rFonts w:ascii="仿宋_GB2312" w:eastAsia="仿宋_GB2312" w:hAnsi="仿宋_GB2312" w:cs="仿宋_GB2312" w:hint="eastAsia"/>
          <w:b/>
          <w:bCs/>
          <w:color w:val="auto"/>
          <w:spacing w:val="12"/>
          <w:sz w:val="32"/>
          <w:szCs w:val="32"/>
          <w:highlight w:val="none"/>
          <w:lang w:val="en-US" w:eastAsia="zh-CN"/>
        </w:rPr>
        <w:t>九</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市场主体及其从业人员应当配合交易中心</w:t>
      </w:r>
      <w:r>
        <w:rPr>
          <w:rFonts w:ascii="仿宋_GB2312" w:eastAsia="仿宋_GB2312" w:hAnsi="仿宋_GB2312" w:cs="仿宋_GB2312" w:hint="eastAsia"/>
          <w:color w:val="auto"/>
          <w:spacing w:val="12"/>
          <w:sz w:val="32"/>
          <w:szCs w:val="32"/>
          <w:highlight w:val="none"/>
          <w:lang w:val="en-US" w:eastAsia="zh-CN"/>
        </w:rPr>
        <w:t>在5个工作日内</w:t>
      </w:r>
      <w:r>
        <w:rPr>
          <w:rFonts w:ascii="仿宋_GB2312" w:eastAsia="仿宋_GB2312" w:hAnsi="仿宋_GB2312" w:cs="仿宋_GB2312" w:hint="eastAsia"/>
          <w:color w:val="auto"/>
          <w:spacing w:val="12"/>
          <w:sz w:val="32"/>
          <w:szCs w:val="32"/>
          <w:highlight w:val="none"/>
        </w:rPr>
        <w:t>就</w:t>
      </w:r>
      <w:r>
        <w:rPr>
          <w:rFonts w:ascii="仿宋_GB2312" w:eastAsia="仿宋_GB2312" w:hAnsi="仿宋_GB2312" w:cs="仿宋_GB2312" w:hint="eastAsia"/>
          <w:color w:val="auto"/>
          <w:spacing w:val="4"/>
          <w:sz w:val="32"/>
          <w:szCs w:val="32"/>
          <w:highlight w:val="none"/>
        </w:rPr>
        <w:t>涉嫌存在的不良行为进行问询、核实等工作，交易中心依法</w:t>
      </w:r>
      <w:r>
        <w:rPr>
          <w:rFonts w:ascii="仿宋_GB2312" w:eastAsia="仿宋_GB2312" w:hAnsi="仿宋_GB2312" w:cs="仿宋_GB2312" w:hint="eastAsia"/>
          <w:color w:val="auto"/>
          <w:spacing w:val="5"/>
          <w:sz w:val="32"/>
          <w:szCs w:val="32"/>
          <w:highlight w:val="none"/>
        </w:rPr>
        <w:t>依规开展问询、核实等工作，并对相关材料进行归档管理。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7"/>
          <w:sz w:val="32"/>
          <w:szCs w:val="32"/>
          <w:highlight w:val="none"/>
          <w:lang w:val="en-US" w:eastAsia="zh-CN"/>
        </w:rPr>
        <w:t>二十</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经交易中心问询、核实，确认市场主体存在</w:t>
      </w:r>
      <w:r>
        <w:rPr>
          <w:rFonts w:ascii="仿宋_GB2312" w:eastAsia="仿宋_GB2312" w:hAnsi="仿宋_GB2312" w:cs="仿宋_GB2312" w:hint="eastAsia"/>
          <w:color w:val="auto"/>
          <w:spacing w:val="5"/>
          <w:sz w:val="32"/>
          <w:szCs w:val="32"/>
          <w:highlight w:val="none"/>
        </w:rPr>
        <w:t>不良行为的，应当</w:t>
      </w:r>
      <w:r>
        <w:rPr>
          <w:rFonts w:ascii="仿宋_GB2312" w:eastAsia="仿宋_GB2312" w:hAnsi="仿宋_GB2312" w:cs="仿宋_GB2312" w:hint="eastAsia"/>
          <w:color w:val="auto"/>
          <w:spacing w:val="5"/>
          <w:sz w:val="32"/>
          <w:szCs w:val="32"/>
          <w:highlight w:val="none"/>
          <w:lang w:val="en-US" w:eastAsia="zh-CN"/>
        </w:rPr>
        <w:t>在5个工作日内发送</w:t>
      </w:r>
      <w:r>
        <w:rPr>
          <w:rFonts w:ascii="仿宋_GB2312" w:eastAsia="仿宋_GB2312" w:hAnsi="仿宋_GB2312" w:cs="仿宋_GB2312" w:hint="eastAsia"/>
          <w:color w:val="auto"/>
          <w:spacing w:val="5"/>
          <w:sz w:val="32"/>
          <w:szCs w:val="32"/>
          <w:highlight w:val="none"/>
        </w:rPr>
        <w:t>不良行为认定告知书，载明当事人姓</w:t>
      </w:r>
      <w:r>
        <w:rPr>
          <w:rFonts w:ascii="仿宋_GB2312" w:eastAsia="仿宋_GB2312" w:hAnsi="仿宋_GB2312" w:cs="仿宋_GB2312" w:hint="eastAsia"/>
          <w:color w:val="auto"/>
          <w:spacing w:val="2"/>
          <w:sz w:val="32"/>
          <w:szCs w:val="32"/>
          <w:highlight w:val="none"/>
        </w:rPr>
        <w:t>名或名称、不良行为事实、相关依据，以及申诉的途径和期限等内容。</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市场主体对交易中心认定的不良行为有异议的，</w:t>
      </w:r>
      <w:r>
        <w:rPr>
          <w:rFonts w:ascii="仿宋_GB2312" w:eastAsia="仿宋_GB2312" w:hAnsi="仿宋_GB2312" w:cs="仿宋_GB2312" w:hint="eastAsia"/>
          <w:color w:val="auto"/>
          <w:spacing w:val="5"/>
          <w:sz w:val="32"/>
          <w:szCs w:val="32"/>
          <w:highlight w:val="none"/>
          <w:lang w:val="en-US" w:eastAsia="zh-CN"/>
        </w:rPr>
        <w:t>3个工作日内</w:t>
      </w:r>
      <w:r>
        <w:rPr>
          <w:rFonts w:ascii="仿宋_GB2312" w:eastAsia="仿宋_GB2312" w:hAnsi="仿宋_GB2312" w:cs="仿宋_GB2312" w:hint="eastAsia"/>
          <w:color w:val="auto"/>
          <w:spacing w:val="5"/>
          <w:sz w:val="32"/>
          <w:szCs w:val="32"/>
          <w:highlight w:val="none"/>
        </w:rPr>
        <w:t>书面向</w:t>
      </w:r>
      <w:r>
        <w:rPr>
          <w:rFonts w:ascii="仿宋_GB2312" w:eastAsia="仿宋_GB2312" w:hAnsi="仿宋_GB2312" w:cs="仿宋_GB2312" w:hint="eastAsia"/>
          <w:color w:val="auto"/>
          <w:sz w:val="32"/>
          <w:szCs w:val="32"/>
          <w:highlight w:val="none"/>
        </w:rPr>
        <w:t>交易中心提出申诉申请，由交易中心</w:t>
      </w:r>
      <w:r>
        <w:rPr>
          <w:rFonts w:ascii="仿宋_GB2312" w:eastAsia="仿宋_GB2312" w:hAnsi="仿宋_GB2312" w:cs="仿宋_GB2312" w:hint="eastAsia"/>
          <w:color w:val="auto"/>
          <w:sz w:val="32"/>
          <w:szCs w:val="32"/>
          <w:highlight w:val="none"/>
          <w:lang w:val="en-US" w:eastAsia="zh-CN"/>
        </w:rPr>
        <w:t>组织</w:t>
      </w:r>
      <w:r>
        <w:rPr>
          <w:rFonts w:ascii="仿宋_GB2312" w:eastAsia="仿宋_GB2312" w:hAnsi="仿宋_GB2312" w:cs="仿宋_GB2312" w:hint="eastAsia"/>
          <w:color w:val="auto"/>
          <w:sz w:val="32"/>
          <w:szCs w:val="32"/>
          <w:highlight w:val="none"/>
        </w:rPr>
        <w:t>复核</w:t>
      </w:r>
      <w:r>
        <w:rPr>
          <w:rFonts w:ascii="仿宋_GB2312" w:eastAsia="仿宋_GB2312" w:hAnsi="仿宋_GB2312" w:cs="仿宋_GB2312" w:hint="eastAsia"/>
          <w:color w:val="auto"/>
          <w:spacing w:val="-1"/>
          <w:sz w:val="32"/>
          <w:szCs w:val="32"/>
          <w:highlight w:val="none"/>
        </w:rPr>
        <w:t>。复核过程中，</w:t>
      </w:r>
      <w:r>
        <w:rPr>
          <w:rFonts w:ascii="仿宋_GB2312" w:eastAsia="仿宋_GB2312" w:hAnsi="仿宋_GB2312" w:cs="仿宋_GB2312" w:hint="eastAsia"/>
          <w:color w:val="auto"/>
          <w:spacing w:val="8"/>
          <w:sz w:val="32"/>
          <w:szCs w:val="32"/>
          <w:highlight w:val="none"/>
        </w:rPr>
        <w:t>交易中心应听取</w:t>
      </w:r>
      <w:r>
        <w:rPr>
          <w:rFonts w:ascii="仿宋_GB2312" w:eastAsia="仿宋_GB2312" w:hAnsi="仿宋_GB2312" w:cs="仿宋_GB2312" w:hint="eastAsia"/>
          <w:color w:val="auto"/>
          <w:spacing w:val="8"/>
          <w:sz w:val="32"/>
          <w:szCs w:val="32"/>
          <w:highlight w:val="none"/>
          <w:lang w:eastAsia="zh-CN"/>
        </w:rPr>
        <w:t>海南</w:t>
      </w:r>
      <w:r>
        <w:rPr>
          <w:rFonts w:ascii="仿宋_GB2312" w:eastAsia="仿宋_GB2312" w:hAnsi="仿宋_GB2312" w:cs="仿宋_GB2312" w:hint="eastAsia"/>
          <w:color w:val="auto"/>
          <w:spacing w:val="8"/>
          <w:sz w:val="32"/>
          <w:szCs w:val="32"/>
          <w:highlight w:val="none"/>
        </w:rPr>
        <w:t>电力市场管理委员会市场监督工作组</w:t>
      </w:r>
      <w:r>
        <w:rPr>
          <w:rFonts w:ascii="仿宋_GB2312" w:eastAsia="仿宋_GB2312" w:hAnsi="仿宋_GB2312" w:cs="仿宋_GB2312" w:hint="eastAsia"/>
          <w:color w:val="auto"/>
          <w:spacing w:val="8"/>
          <w:sz w:val="32"/>
          <w:szCs w:val="32"/>
          <w:highlight w:val="none"/>
          <w:lang w:val="en-US" w:eastAsia="zh-CN"/>
        </w:rPr>
        <w:t>意见</w:t>
      </w:r>
      <w:r>
        <w:rPr>
          <w:rFonts w:ascii="仿宋_GB2312" w:eastAsia="仿宋_GB2312" w:hAnsi="仿宋_GB2312" w:cs="仿宋_GB2312" w:hint="eastAsia"/>
          <w:color w:val="auto"/>
          <w:spacing w:val="8"/>
          <w:sz w:val="32"/>
          <w:szCs w:val="32"/>
          <w:highlight w:val="none"/>
          <w:lang w:eastAsia="zh-CN"/>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w:t>
      </w:r>
      <w:r>
        <w:rPr>
          <w:rFonts w:ascii="仿宋_GB2312" w:eastAsia="仿宋_GB2312" w:hAnsi="仿宋_GB2312" w:cs="仿宋_GB2312" w:hint="eastAsia"/>
          <w:b/>
          <w:bCs/>
          <w:color w:val="auto"/>
          <w:spacing w:val="12"/>
          <w:sz w:val="32"/>
          <w:szCs w:val="32"/>
          <w:highlight w:val="none"/>
          <w:lang w:val="en-US" w:eastAsia="zh-CN"/>
        </w:rPr>
        <w:t>二十一</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市场主体与交易中心就不良行为认定复核结</w:t>
      </w:r>
      <w:r>
        <w:rPr>
          <w:rFonts w:ascii="仿宋_GB2312" w:eastAsia="仿宋_GB2312" w:hAnsi="仿宋_GB2312" w:cs="仿宋_GB2312" w:hint="eastAsia"/>
          <w:color w:val="auto"/>
          <w:spacing w:val="5"/>
          <w:sz w:val="32"/>
          <w:szCs w:val="32"/>
          <w:highlight w:val="none"/>
        </w:rPr>
        <w:t>果存在争议的，由交易中心报能源监管机构和政府主管部门</w:t>
      </w:r>
      <w:r>
        <w:rPr>
          <w:rFonts w:ascii="仿宋_GB2312" w:eastAsia="仿宋_GB2312" w:hAnsi="仿宋_GB2312" w:cs="仿宋_GB2312" w:hint="eastAsia"/>
          <w:color w:val="auto"/>
          <w:spacing w:val="8"/>
          <w:sz w:val="32"/>
          <w:szCs w:val="32"/>
          <w:highlight w:val="none"/>
        </w:rPr>
        <w:t>按照各自职能进行核实。</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w:t>
      </w:r>
      <w:r>
        <w:rPr>
          <w:rFonts w:ascii="仿宋_GB2312" w:eastAsia="仿宋_GB2312" w:hAnsi="仿宋_GB2312" w:cs="仿宋_GB2312" w:hint="eastAsia"/>
          <w:b/>
          <w:bCs/>
          <w:color w:val="auto"/>
          <w:spacing w:val="12"/>
          <w:sz w:val="32"/>
          <w:szCs w:val="32"/>
          <w:highlight w:val="none"/>
          <w:lang w:val="en-US" w:eastAsia="zh-CN"/>
        </w:rPr>
        <w:t>二十二</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交易中心可以根据市场主体不良行为对电力</w:t>
      </w:r>
      <w:r>
        <w:rPr>
          <w:rFonts w:ascii="仿宋_GB2312" w:eastAsia="仿宋_GB2312" w:hAnsi="仿宋_GB2312" w:cs="仿宋_GB2312" w:hint="eastAsia"/>
          <w:color w:val="auto"/>
          <w:spacing w:val="7"/>
          <w:sz w:val="32"/>
          <w:szCs w:val="32"/>
          <w:highlight w:val="none"/>
        </w:rPr>
        <w:t>市场秩序造成影响的严重程度，对其实施相应的市场管理或者市场约束等处置措施，</w:t>
      </w:r>
      <w:r>
        <w:rPr>
          <w:rFonts w:ascii="仿宋_GB2312" w:eastAsia="仿宋_GB2312" w:hAnsi="仿宋_GB2312" w:cs="仿宋_GB2312" w:hint="eastAsia"/>
          <w:color w:val="auto"/>
          <w:spacing w:val="7"/>
          <w:sz w:val="32"/>
          <w:szCs w:val="32"/>
          <w:highlight w:val="none"/>
          <w:lang w:val="en-US" w:eastAsia="zh-CN"/>
        </w:rPr>
        <w:t>同时纳入信用评价考核。</w:t>
      </w:r>
      <w:r>
        <w:rPr>
          <w:rFonts w:ascii="仿宋_GB2312" w:eastAsia="仿宋_GB2312" w:hAnsi="仿宋_GB2312" w:cs="仿宋_GB2312" w:hint="eastAsia"/>
          <w:color w:val="auto"/>
          <w:spacing w:val="7"/>
          <w:sz w:val="32"/>
          <w:szCs w:val="32"/>
          <w:highlight w:val="none"/>
        </w:rPr>
        <w:t>市场管理措施和市场约束措施可以</w:t>
      </w:r>
      <w:r>
        <w:rPr>
          <w:rFonts w:ascii="仿宋_GB2312" w:eastAsia="仿宋_GB2312" w:hAnsi="仿宋_GB2312" w:cs="仿宋_GB2312" w:hint="eastAsia"/>
          <w:color w:val="auto"/>
          <w:spacing w:val="4"/>
          <w:sz w:val="32"/>
          <w:szCs w:val="32"/>
          <w:highlight w:val="none"/>
        </w:rPr>
        <w:t>一并实施。</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12"/>
          <w:sz w:val="32"/>
          <w:szCs w:val="32"/>
          <w:highlight w:val="none"/>
          <w:lang w:val="en-US" w:eastAsia="zh-CN"/>
        </w:rPr>
        <w:t>二十三</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市场主体不良行为认定生效后，情节轻微、未对市场造成较大不良影响的，交易中心可对实施不良行为</w:t>
      </w:r>
      <w:r>
        <w:rPr>
          <w:rFonts w:ascii="仿宋_GB2312" w:eastAsia="仿宋_GB2312" w:hAnsi="仿宋_GB2312" w:cs="仿宋_GB2312" w:hint="eastAsia"/>
          <w:color w:val="auto"/>
          <w:spacing w:val="8"/>
          <w:sz w:val="32"/>
          <w:szCs w:val="32"/>
          <w:highlight w:val="none"/>
        </w:rPr>
        <w:t>的市场主体采取以下一项或多项市场管理措施：</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（一）书面警示，即以警示函等书面形式将有关不良行</w:t>
      </w:r>
      <w:r>
        <w:rPr>
          <w:rFonts w:ascii="仿宋_GB2312" w:eastAsia="仿宋_GB2312" w:hAnsi="仿宋_GB2312" w:cs="仿宋_GB2312" w:hint="eastAsia"/>
          <w:color w:val="auto"/>
          <w:spacing w:val="4"/>
          <w:sz w:val="32"/>
          <w:szCs w:val="32"/>
          <w:highlight w:val="none"/>
        </w:rPr>
        <w:t>为的事实或风险状况告知当事方，并要求其及时补救、改正</w:t>
      </w:r>
      <w:r>
        <w:rPr>
          <w:rFonts w:ascii="仿宋_GB2312" w:eastAsia="仿宋_GB2312" w:hAnsi="仿宋_GB2312" w:cs="仿宋_GB2312" w:hint="eastAsia"/>
          <w:color w:val="auto"/>
          <w:spacing w:val="5"/>
          <w:sz w:val="32"/>
          <w:szCs w:val="32"/>
          <w:highlight w:val="none"/>
        </w:rPr>
        <w:t>或者防范；</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（二）约谈，即要求当事方在指定的时间和地点就有关</w:t>
      </w:r>
      <w:r>
        <w:rPr>
          <w:rFonts w:ascii="仿宋_GB2312" w:eastAsia="仿宋_GB2312" w:hAnsi="仿宋_GB2312" w:cs="仿宋_GB2312" w:hint="eastAsia"/>
          <w:color w:val="auto"/>
          <w:spacing w:val="5"/>
          <w:sz w:val="32"/>
          <w:szCs w:val="32"/>
          <w:highlight w:val="none"/>
        </w:rPr>
        <w:t>不良行为接受面谈，并要求其作出解释说明，采取措施及时</w:t>
      </w:r>
      <w:r>
        <w:rPr>
          <w:rFonts w:ascii="仿宋_GB2312" w:eastAsia="仿宋_GB2312" w:hAnsi="仿宋_GB2312" w:cs="仿宋_GB2312" w:hint="eastAsia"/>
          <w:color w:val="auto"/>
          <w:sz w:val="32"/>
          <w:szCs w:val="32"/>
          <w:highlight w:val="none"/>
        </w:rPr>
        <w:t>补救、改正或者防范；</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（三）公开函询，即以公开方式函询当事方，要求</w:t>
      </w:r>
      <w:r>
        <w:rPr>
          <w:rFonts w:ascii="仿宋_GB2312" w:eastAsia="仿宋_GB2312" w:hAnsi="仿宋_GB2312" w:cs="仿宋_GB2312" w:hint="eastAsia"/>
          <w:color w:val="auto"/>
          <w:spacing w:val="-5"/>
          <w:sz w:val="32"/>
          <w:szCs w:val="32"/>
          <w:highlight w:val="none"/>
        </w:rPr>
        <w:t>其在</w:t>
      </w:r>
      <w:r>
        <w:rPr>
          <w:rFonts w:ascii="仿宋_GB2312" w:eastAsia="仿宋_GB2312" w:hAnsi="仿宋_GB2312" w:cs="仿宋_GB2312" w:hint="eastAsia"/>
          <w:color w:val="auto"/>
          <w:spacing w:val="7"/>
          <w:sz w:val="32"/>
          <w:szCs w:val="32"/>
          <w:highlight w:val="none"/>
        </w:rPr>
        <w:t>规定时限内对有关事项或风险情况公开作出</w:t>
      </w:r>
      <w:r>
        <w:rPr>
          <w:rFonts w:ascii="仿宋_GB2312" w:eastAsia="仿宋_GB2312" w:hAnsi="仿宋_GB2312" w:cs="仿宋_GB2312" w:hint="eastAsia"/>
          <w:color w:val="auto"/>
          <w:spacing w:val="6"/>
          <w:sz w:val="32"/>
          <w:szCs w:val="32"/>
          <w:highlight w:val="none"/>
        </w:rPr>
        <w:t>说明、澄清；</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（四）市场通报，即</w:t>
      </w:r>
      <w:r>
        <w:rPr>
          <w:rFonts w:ascii="仿宋_GB2312" w:eastAsia="仿宋_GB2312" w:hAnsi="仿宋_GB2312" w:cs="仿宋_GB2312" w:hint="eastAsia"/>
          <w:color w:val="auto"/>
          <w:spacing w:val="-2"/>
          <w:sz w:val="32"/>
          <w:szCs w:val="32"/>
          <w:highlight w:val="none"/>
          <w:lang w:val="en-US" w:eastAsia="zh-CN"/>
        </w:rPr>
        <w:t>以公众信息</w:t>
      </w:r>
      <w:r>
        <w:rPr>
          <w:rFonts w:ascii="仿宋_GB2312" w:eastAsia="仿宋_GB2312" w:hAnsi="仿宋_GB2312" w:cs="仿宋_GB2312" w:hint="eastAsia"/>
          <w:color w:val="auto"/>
          <w:spacing w:val="-2"/>
          <w:sz w:val="32"/>
          <w:szCs w:val="32"/>
          <w:highlight w:val="none"/>
        </w:rPr>
        <w:t>方式对当事方</w:t>
      </w:r>
      <w:r>
        <w:rPr>
          <w:rFonts w:ascii="仿宋_GB2312" w:eastAsia="仿宋_GB2312" w:hAnsi="仿宋_GB2312" w:cs="仿宋_GB2312" w:hint="eastAsia"/>
          <w:color w:val="auto"/>
          <w:spacing w:val="6"/>
          <w:sz w:val="32"/>
          <w:szCs w:val="32"/>
          <w:highlight w:val="none"/>
        </w:rPr>
        <w:t>不良行为进行通报</w:t>
      </w:r>
      <w:r>
        <w:rPr>
          <w:rFonts w:ascii="仿宋_GB2312" w:eastAsia="仿宋_GB2312" w:hAnsi="仿宋_GB2312" w:cs="仿宋_GB2312" w:hint="eastAsia"/>
          <w:color w:val="auto"/>
          <w:spacing w:val="6"/>
          <w:sz w:val="32"/>
          <w:szCs w:val="32"/>
          <w:highlight w:val="none"/>
          <w:lang w:val="en-US" w:eastAsia="zh-CN"/>
        </w:rPr>
        <w:t>披露</w:t>
      </w:r>
      <w:r>
        <w:rPr>
          <w:rFonts w:ascii="仿宋_GB2312" w:eastAsia="仿宋_GB2312" w:hAnsi="仿宋_GB2312" w:cs="仿宋_GB2312" w:hint="eastAsia"/>
          <w:color w:val="auto"/>
          <w:spacing w:val="6"/>
          <w:sz w:val="32"/>
          <w:szCs w:val="32"/>
          <w:highlight w:val="none"/>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2"/>
          <w:sz w:val="32"/>
          <w:szCs w:val="32"/>
          <w:highlight w:val="none"/>
          <w:lang w:val="en-US" w:eastAsia="zh-CN"/>
        </w:rPr>
      </w:pPr>
      <w:r>
        <w:rPr>
          <w:rFonts w:ascii="仿宋_GB2312" w:eastAsia="仿宋_GB2312" w:hAnsi="仿宋_GB2312" w:cs="仿宋_GB2312" w:hint="eastAsia"/>
          <w:color w:val="auto"/>
          <w:spacing w:val="-2"/>
          <w:sz w:val="32"/>
          <w:szCs w:val="32"/>
          <w:highlight w:val="none"/>
        </w:rPr>
        <w:t>（五）限期整改，即要求当事方停止不良行为</w:t>
      </w:r>
      <w:r>
        <w:rPr>
          <w:rFonts w:ascii="仿宋_GB2312" w:eastAsia="仿宋_GB2312" w:hAnsi="仿宋_GB2312" w:cs="仿宋_GB2312" w:hint="eastAsia"/>
          <w:color w:val="auto"/>
          <w:spacing w:val="-2"/>
          <w:sz w:val="32"/>
          <w:szCs w:val="32"/>
          <w:highlight w:val="none"/>
          <w:lang w:eastAsia="zh-CN"/>
        </w:rPr>
        <w:t>，</w:t>
      </w:r>
      <w:r>
        <w:rPr>
          <w:rFonts w:ascii="仿宋_GB2312" w:eastAsia="仿宋_GB2312" w:hAnsi="仿宋_GB2312" w:cs="仿宋_GB2312" w:hint="eastAsia"/>
          <w:color w:val="auto"/>
          <w:spacing w:val="-2"/>
          <w:sz w:val="32"/>
          <w:szCs w:val="32"/>
          <w:highlight w:val="none"/>
          <w:lang w:val="en-US" w:eastAsia="zh-CN"/>
        </w:rPr>
        <w:t>在规定时限内</w:t>
      </w:r>
      <w:r>
        <w:rPr>
          <w:rFonts w:ascii="仿宋_GB2312" w:eastAsia="仿宋_GB2312" w:hAnsi="仿宋_GB2312" w:cs="仿宋_GB2312" w:hint="eastAsia"/>
          <w:color w:val="auto"/>
          <w:spacing w:val="-2"/>
          <w:sz w:val="32"/>
          <w:szCs w:val="32"/>
          <w:highlight w:val="none"/>
        </w:rPr>
        <w:t>改正</w:t>
      </w:r>
      <w:r>
        <w:rPr>
          <w:rFonts w:ascii="仿宋_GB2312" w:eastAsia="仿宋_GB2312" w:hAnsi="仿宋_GB2312" w:cs="仿宋_GB2312" w:hint="eastAsia"/>
          <w:color w:val="auto"/>
          <w:spacing w:val="-2"/>
          <w:sz w:val="32"/>
          <w:szCs w:val="32"/>
          <w:highlight w:val="none"/>
          <w:lang w:eastAsia="zh-CN"/>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12"/>
          <w:sz w:val="32"/>
          <w:szCs w:val="32"/>
          <w:highlight w:val="none"/>
          <w:lang w:val="en-US" w:eastAsia="zh-CN"/>
        </w:rPr>
        <w:t>二十四</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市场主体</w:t>
      </w:r>
      <w:r>
        <w:rPr>
          <w:rFonts w:ascii="仿宋_GB2312" w:eastAsia="仿宋_GB2312" w:hAnsi="仿宋_GB2312" w:cs="仿宋_GB2312" w:hint="eastAsia"/>
          <w:color w:val="auto"/>
          <w:spacing w:val="7"/>
          <w:sz w:val="32"/>
          <w:szCs w:val="32"/>
          <w:highlight w:val="none"/>
          <w:lang w:val="en-US" w:eastAsia="zh-CN"/>
        </w:rPr>
        <w:t>及从业人员</w:t>
      </w:r>
      <w:r>
        <w:rPr>
          <w:rFonts w:ascii="仿宋_GB2312" w:eastAsia="仿宋_GB2312" w:hAnsi="仿宋_GB2312" w:cs="仿宋_GB2312" w:hint="eastAsia"/>
          <w:color w:val="auto"/>
          <w:spacing w:val="7"/>
          <w:sz w:val="32"/>
          <w:szCs w:val="32"/>
          <w:highlight w:val="none"/>
        </w:rPr>
        <w:t>不良行为认定生效后，情节严重、对市场造成较大不良影响的，交易中心可对实施不良</w:t>
      </w:r>
      <w:r>
        <w:rPr>
          <w:rFonts w:ascii="仿宋_GB2312" w:eastAsia="仿宋_GB2312" w:hAnsi="仿宋_GB2312" w:cs="仿宋_GB2312" w:hint="eastAsia"/>
          <w:color w:val="auto"/>
          <w:spacing w:val="6"/>
          <w:sz w:val="32"/>
          <w:szCs w:val="32"/>
          <w:highlight w:val="none"/>
        </w:rPr>
        <w:t>行为的</w:t>
      </w:r>
      <w:r>
        <w:rPr>
          <w:rFonts w:ascii="仿宋_GB2312" w:eastAsia="仿宋_GB2312" w:hAnsi="仿宋_GB2312" w:cs="仿宋_GB2312" w:hint="eastAsia"/>
          <w:color w:val="auto"/>
          <w:spacing w:val="8"/>
          <w:sz w:val="32"/>
          <w:szCs w:val="32"/>
          <w:highlight w:val="none"/>
        </w:rPr>
        <w:t>市场主体采取以下一项或多项市场约束措施：</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（一）向</w:t>
      </w:r>
      <w:r>
        <w:rPr>
          <w:rFonts w:ascii="仿宋_GB2312" w:eastAsia="仿宋_GB2312" w:hAnsi="仿宋_GB2312" w:cs="仿宋_GB2312" w:hint="eastAsia"/>
          <w:color w:val="auto"/>
          <w:sz w:val="32"/>
          <w:szCs w:val="32"/>
          <w:highlight w:val="none"/>
          <w:lang w:eastAsia="zh-CN"/>
        </w:rPr>
        <w:t>海南</w:t>
      </w:r>
      <w:r>
        <w:rPr>
          <w:rFonts w:ascii="仿宋_GB2312" w:eastAsia="仿宋_GB2312" w:hAnsi="仿宋_GB2312" w:cs="仿宋_GB2312" w:hint="eastAsia"/>
          <w:color w:val="auto"/>
          <w:sz w:val="32"/>
          <w:szCs w:val="32"/>
          <w:highlight w:val="none"/>
        </w:rPr>
        <w:t>电力市场管理委员会建议当事方及其从业</w:t>
      </w:r>
      <w:r>
        <w:rPr>
          <w:rFonts w:ascii="仿宋_GB2312" w:eastAsia="仿宋_GB2312" w:hAnsi="仿宋_GB2312" w:cs="仿宋_GB2312" w:hint="eastAsia"/>
          <w:color w:val="auto"/>
          <w:spacing w:val="6"/>
          <w:sz w:val="32"/>
          <w:szCs w:val="32"/>
          <w:highlight w:val="none"/>
        </w:rPr>
        <w:t>人员不纳入代表单位、委员的选举范围；</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2"/>
          <w:sz w:val="32"/>
          <w:szCs w:val="32"/>
          <w:highlight w:val="none"/>
        </w:rPr>
        <w:t>（</w:t>
      </w:r>
      <w:r>
        <w:rPr>
          <w:rFonts w:ascii="仿宋_GB2312" w:eastAsia="仿宋_GB2312" w:hAnsi="仿宋_GB2312" w:cs="仿宋_GB2312" w:hint="eastAsia"/>
          <w:color w:val="auto"/>
          <w:spacing w:val="-2"/>
          <w:sz w:val="32"/>
          <w:szCs w:val="32"/>
          <w:highlight w:val="none"/>
          <w:lang w:val="en-US" w:eastAsia="zh-CN"/>
        </w:rPr>
        <w:t>二</w:t>
      </w:r>
      <w:r>
        <w:rPr>
          <w:rFonts w:ascii="仿宋_GB2312" w:eastAsia="仿宋_GB2312" w:hAnsi="仿宋_GB2312" w:cs="仿宋_GB2312" w:hint="eastAsia"/>
          <w:color w:val="auto"/>
          <w:spacing w:val="-2"/>
          <w:sz w:val="32"/>
          <w:szCs w:val="32"/>
          <w:highlight w:val="none"/>
        </w:rPr>
        <w:t>）暂停交易资格</w:t>
      </w:r>
      <w:r>
        <w:rPr>
          <w:rFonts w:ascii="仿宋_GB2312" w:eastAsia="仿宋_GB2312" w:hAnsi="仿宋_GB2312" w:cs="仿宋_GB2312" w:hint="eastAsia"/>
          <w:color w:val="auto"/>
          <w:spacing w:val="-2"/>
          <w:sz w:val="32"/>
          <w:szCs w:val="32"/>
          <w:highlight w:val="none"/>
          <w:lang w:val="en-US" w:eastAsia="zh-CN"/>
        </w:rPr>
        <w:t>3个月</w:t>
      </w:r>
      <w:r>
        <w:rPr>
          <w:rFonts w:ascii="仿宋_GB2312" w:eastAsia="仿宋_GB2312" w:hAnsi="仿宋_GB2312" w:cs="仿宋_GB2312" w:hint="eastAsia"/>
          <w:color w:val="auto"/>
          <w:spacing w:val="-2"/>
          <w:sz w:val="32"/>
          <w:szCs w:val="32"/>
          <w:highlight w:val="none"/>
        </w:rPr>
        <w:t>，</w:t>
      </w:r>
      <w:r>
        <w:rPr>
          <w:rFonts w:ascii="仿宋_GB2312" w:eastAsia="仿宋_GB2312" w:hAnsi="仿宋_GB2312" w:cs="仿宋_GB2312" w:hint="eastAsia"/>
          <w:color w:val="auto"/>
          <w:spacing w:val="-2"/>
          <w:sz w:val="32"/>
          <w:szCs w:val="32"/>
          <w:highlight w:val="none"/>
          <w:lang w:val="en-US" w:eastAsia="zh-CN"/>
        </w:rPr>
        <w:t>暂停期间</w:t>
      </w:r>
      <w:r>
        <w:rPr>
          <w:rFonts w:ascii="仿宋_GB2312" w:eastAsia="仿宋_GB2312" w:hAnsi="仿宋_GB2312" w:cs="仿宋_GB2312" w:hint="eastAsia"/>
          <w:color w:val="auto"/>
          <w:spacing w:val="-2"/>
          <w:sz w:val="32"/>
          <w:szCs w:val="32"/>
          <w:highlight w:val="none"/>
        </w:rPr>
        <w:t>不可开展增量批发侧交易、增量零售侧交易和现货交易等</w:t>
      </w:r>
      <w:r>
        <w:rPr>
          <w:rFonts w:ascii="仿宋_GB2312" w:eastAsia="仿宋_GB2312" w:hAnsi="仿宋_GB2312" w:cs="仿宋_GB2312" w:hint="eastAsia"/>
          <w:color w:val="auto"/>
          <w:spacing w:val="8"/>
          <w:sz w:val="32"/>
          <w:szCs w:val="32"/>
          <w:highlight w:val="none"/>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1"/>
          <w:sz w:val="32"/>
          <w:szCs w:val="32"/>
          <w:highlight w:val="none"/>
          <w:lang w:val="en-US"/>
        </w:rPr>
      </w:pPr>
      <w:r>
        <w:rPr>
          <w:rFonts w:ascii="仿宋_GB2312" w:eastAsia="仿宋_GB2312" w:hAnsi="仿宋_GB2312" w:cs="仿宋_GB2312" w:hint="eastAsia"/>
          <w:color w:val="auto"/>
          <w:spacing w:val="-2"/>
          <w:sz w:val="32"/>
          <w:szCs w:val="32"/>
          <w:highlight w:val="none"/>
        </w:rPr>
        <w:t>（</w:t>
      </w:r>
      <w:r>
        <w:rPr>
          <w:rFonts w:ascii="仿宋_GB2312" w:eastAsia="仿宋_GB2312" w:hAnsi="仿宋_GB2312" w:cs="仿宋_GB2312" w:hint="eastAsia"/>
          <w:color w:val="auto"/>
          <w:spacing w:val="-2"/>
          <w:sz w:val="32"/>
          <w:szCs w:val="32"/>
          <w:highlight w:val="none"/>
          <w:lang w:val="en-US" w:eastAsia="zh-CN"/>
        </w:rPr>
        <w:t>三</w:t>
      </w:r>
      <w:r>
        <w:rPr>
          <w:rFonts w:ascii="仿宋_GB2312" w:eastAsia="仿宋_GB2312" w:hAnsi="仿宋_GB2312" w:cs="仿宋_GB2312" w:hint="eastAsia"/>
          <w:color w:val="auto"/>
          <w:spacing w:val="-2"/>
          <w:sz w:val="32"/>
          <w:szCs w:val="32"/>
          <w:highlight w:val="none"/>
        </w:rPr>
        <w:t>）暂缓资金支付，即相关方因当事方不良行为而对</w:t>
      </w:r>
      <w:r>
        <w:rPr>
          <w:rFonts w:ascii="仿宋_GB2312" w:eastAsia="仿宋_GB2312" w:hAnsi="仿宋_GB2312" w:cs="仿宋_GB2312" w:hint="eastAsia"/>
          <w:color w:val="auto"/>
          <w:spacing w:val="5"/>
          <w:sz w:val="32"/>
          <w:szCs w:val="32"/>
          <w:highlight w:val="none"/>
        </w:rPr>
        <w:t>资金结算存在异议的，电网公司在</w:t>
      </w:r>
      <w:r>
        <w:rPr>
          <w:rFonts w:ascii="仿宋_GB2312" w:eastAsia="仿宋_GB2312" w:hAnsi="仿宋_GB2312" w:cs="仿宋_GB2312" w:hint="eastAsia"/>
          <w:color w:val="auto"/>
          <w:spacing w:val="5"/>
          <w:sz w:val="32"/>
          <w:szCs w:val="32"/>
          <w:highlight w:val="none"/>
          <w:lang w:val="en-US" w:eastAsia="zh-CN"/>
        </w:rPr>
        <w:t>异议未解决期间</w:t>
      </w:r>
      <w:r>
        <w:rPr>
          <w:rFonts w:ascii="仿宋_GB2312" w:eastAsia="仿宋_GB2312" w:hAnsi="仿宋_GB2312" w:cs="仿宋_GB2312" w:hint="eastAsia"/>
          <w:color w:val="auto"/>
          <w:spacing w:val="5"/>
          <w:sz w:val="32"/>
          <w:szCs w:val="32"/>
          <w:highlight w:val="none"/>
        </w:rPr>
        <w:t>暂停向当事方</w:t>
      </w:r>
      <w:r>
        <w:rPr>
          <w:rFonts w:ascii="仿宋_GB2312" w:eastAsia="仿宋_GB2312" w:hAnsi="仿宋_GB2312" w:cs="仿宋_GB2312" w:hint="eastAsia"/>
          <w:color w:val="auto"/>
          <w:spacing w:val="1"/>
          <w:sz w:val="32"/>
          <w:szCs w:val="32"/>
          <w:highlight w:val="none"/>
        </w:rPr>
        <w:t>支付其市场化交易结算费用，期限为1至12个月</w:t>
      </w:r>
      <w:r>
        <w:rPr>
          <w:rFonts w:ascii="仿宋_GB2312" w:eastAsia="仿宋_GB2312" w:hAnsi="仿宋_GB2312" w:cs="仿宋_GB2312" w:hint="default"/>
          <w:color w:val="auto"/>
          <w:spacing w:val="1"/>
          <w:sz w:val="32"/>
          <w:szCs w:val="32"/>
          <w:highlight w:val="none"/>
          <w:lang w:val="en-US"/>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1"/>
          <w:sz w:val="32"/>
          <w:szCs w:val="32"/>
          <w:highlight w:val="none"/>
          <w:lang w:val="en-US" w:eastAsia="zh-CN"/>
        </w:rPr>
      </w:pPr>
      <w:r>
        <w:rPr>
          <w:rFonts w:ascii="仿宋_GB2312" w:eastAsia="仿宋_GB2312" w:hAnsi="仿宋_GB2312" w:cs="仿宋_GB2312" w:hint="eastAsia"/>
          <w:color w:val="auto"/>
          <w:spacing w:val="1"/>
          <w:sz w:val="32"/>
          <w:szCs w:val="32"/>
          <w:highlight w:val="none"/>
          <w:lang w:val="en-US" w:eastAsia="zh-CN"/>
        </w:rPr>
        <w:t>（四）记入不良信用记录，市场主体及从业人员的严重失信行为直接纳入不良信用记录，并向社会公示。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8"/>
          <w:sz w:val="32"/>
          <w:szCs w:val="32"/>
          <w:highlight w:val="none"/>
          <w:lang w:val="en-US" w:eastAsia="zh-CN"/>
        </w:rPr>
      </w:pPr>
      <w:r>
        <w:rPr>
          <w:rFonts w:ascii="仿宋_GB2312" w:eastAsia="仿宋_GB2312" w:hAnsi="仿宋_GB2312" w:cs="仿宋_GB2312" w:hint="eastAsia"/>
          <w:color w:val="auto"/>
          <w:spacing w:val="6"/>
          <w:sz w:val="32"/>
          <w:szCs w:val="32"/>
          <w:highlight w:val="none"/>
        </w:rPr>
        <w:t>给予市场主体市场约束措施的，交易中心在做出处置决</w:t>
      </w:r>
      <w:r>
        <w:rPr>
          <w:rFonts w:ascii="仿宋_GB2312" w:eastAsia="仿宋_GB2312" w:hAnsi="仿宋_GB2312" w:cs="仿宋_GB2312" w:hint="eastAsia"/>
          <w:color w:val="auto"/>
          <w:spacing w:val="8"/>
          <w:sz w:val="32"/>
          <w:szCs w:val="32"/>
          <w:highlight w:val="none"/>
        </w:rPr>
        <w:t>定前应履行听取</w:t>
      </w:r>
      <w:r>
        <w:rPr>
          <w:rFonts w:ascii="仿宋_GB2312" w:eastAsia="仿宋_GB2312" w:hAnsi="仿宋_GB2312" w:cs="仿宋_GB2312" w:hint="eastAsia"/>
          <w:color w:val="auto"/>
          <w:spacing w:val="8"/>
          <w:sz w:val="32"/>
          <w:szCs w:val="32"/>
          <w:highlight w:val="none"/>
          <w:lang w:eastAsia="zh-CN"/>
        </w:rPr>
        <w:t>海南</w:t>
      </w:r>
      <w:r>
        <w:rPr>
          <w:rFonts w:ascii="仿宋_GB2312" w:eastAsia="仿宋_GB2312" w:hAnsi="仿宋_GB2312" w:cs="仿宋_GB2312" w:hint="eastAsia"/>
          <w:color w:val="auto"/>
          <w:spacing w:val="8"/>
          <w:sz w:val="32"/>
          <w:szCs w:val="32"/>
          <w:highlight w:val="none"/>
        </w:rPr>
        <w:t>电力市场管理委员会意见的程序</w:t>
      </w:r>
      <w:r>
        <w:rPr>
          <w:rFonts w:ascii="仿宋_GB2312" w:eastAsia="仿宋_GB2312" w:hAnsi="仿宋_GB2312" w:cs="仿宋_GB2312" w:hint="eastAsia"/>
          <w:color w:val="auto"/>
          <w:spacing w:val="8"/>
          <w:sz w:val="32"/>
          <w:szCs w:val="32"/>
          <w:highlight w:val="none"/>
          <w:lang w:eastAsia="zh-CN"/>
        </w:rPr>
        <w:t>。</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default"/>
          <w:color w:val="auto"/>
          <w:spacing w:val="8"/>
          <w:sz w:val="32"/>
          <w:szCs w:val="32"/>
          <w:highlight w:val="none"/>
          <w:lang w:val="en-US" w:eastAsia="zh-CN"/>
        </w:rPr>
      </w:pPr>
      <w:r>
        <w:rPr>
          <w:rFonts w:ascii="仿宋_GB2312" w:eastAsia="仿宋_GB2312" w:hAnsi="仿宋_GB2312" w:cs="仿宋_GB2312" w:hint="eastAsia"/>
          <w:color w:val="auto"/>
          <w:spacing w:val="8"/>
          <w:sz w:val="32"/>
          <w:szCs w:val="32"/>
          <w:highlight w:val="none"/>
          <w:lang w:val="en-US" w:eastAsia="zh-CN"/>
        </w:rPr>
        <w:t>采取暂停交易措施的市场主体</w:t>
      </w:r>
      <w:r>
        <w:rPr>
          <w:rFonts w:ascii="仿宋_GB2312" w:eastAsia="仿宋_GB2312" w:hAnsi="仿宋_GB2312" w:cs="仿宋_GB2312" w:hint="eastAsia"/>
          <w:color w:val="auto"/>
          <w:spacing w:val="8"/>
          <w:sz w:val="32"/>
          <w:szCs w:val="32"/>
          <w:highlight w:val="none"/>
          <w:lang w:eastAsia="zh-CN"/>
        </w:rPr>
        <w:t>应在暂停交易资格到期前，向交易中心书面报告处理情况并申请恢复交易资格；交易中心收到书面申请后应在3个工作日内完成审核，恢复该市场主体交易资格；未提交申请的继续暂停该市场主体交易资格。</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8"/>
          <w:sz w:val="32"/>
          <w:szCs w:val="32"/>
          <w:highlight w:val="none"/>
          <w:lang w:val="en-US" w:eastAsia="zh-CN"/>
        </w:rPr>
      </w:pPr>
      <w:r>
        <w:rPr>
          <w:rFonts w:ascii="仿宋_GB2312" w:eastAsia="仿宋_GB2312" w:hAnsi="仿宋_GB2312" w:cs="仿宋_GB2312" w:hint="eastAsia"/>
          <w:b/>
          <w:bCs/>
          <w:color w:val="auto"/>
          <w:spacing w:val="8"/>
          <w:sz w:val="32"/>
          <w:szCs w:val="32"/>
          <w:highlight w:val="none"/>
          <w:lang w:val="en-US" w:eastAsia="zh-CN"/>
        </w:rPr>
        <w:t xml:space="preserve">第二十五条 </w:t>
      </w:r>
      <w:r>
        <w:rPr>
          <w:rFonts w:ascii="仿宋_GB2312" w:eastAsia="仿宋_GB2312" w:hAnsi="仿宋_GB2312" w:cs="仿宋_GB2312" w:hint="eastAsia"/>
          <w:color w:val="auto"/>
          <w:spacing w:val="8"/>
          <w:sz w:val="32"/>
          <w:szCs w:val="32"/>
          <w:highlight w:val="none"/>
          <w:lang w:val="en-US" w:eastAsia="zh-CN"/>
        </w:rPr>
        <w:t>市场主体不良行为涉嫌违反国家法律法规、部门规章以及能源监管机构、政府主管部门有关规范性文件规定的，交易中心应当及时将违法违纪线索移交能源监管机构、政府主管部门以及其他有关部门处理。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市场主体被采取监管措施、行政处罚或刑事处罚的，交</w:t>
      </w:r>
      <w:r>
        <w:rPr>
          <w:rFonts w:ascii="仿宋_GB2312" w:eastAsia="仿宋_GB2312" w:hAnsi="仿宋_GB2312" w:cs="仿宋_GB2312" w:hint="eastAsia"/>
          <w:color w:val="auto"/>
          <w:spacing w:val="6"/>
          <w:sz w:val="32"/>
          <w:szCs w:val="32"/>
          <w:highlight w:val="none"/>
        </w:rPr>
        <w:t>易中心原则上不再采取本办法规定的处置措施；情况特殊、</w:t>
      </w:r>
      <w:r>
        <w:rPr>
          <w:rFonts w:ascii="仿宋_GB2312" w:eastAsia="仿宋_GB2312" w:hAnsi="仿宋_GB2312" w:cs="仿宋_GB2312" w:hint="eastAsia"/>
          <w:color w:val="auto"/>
          <w:spacing w:val="3"/>
          <w:sz w:val="32"/>
          <w:szCs w:val="32"/>
          <w:highlight w:val="none"/>
        </w:rPr>
        <w:t>确有必要的，可以采取差异化、补充性处置措施。</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9"/>
          <w:sz w:val="32"/>
          <w:szCs w:val="32"/>
          <w:highlight w:val="none"/>
        </w:rPr>
        <w:t>第二十</w:t>
      </w:r>
      <w:r>
        <w:rPr>
          <w:rFonts w:ascii="仿宋_GB2312" w:eastAsia="仿宋_GB2312" w:hAnsi="仿宋_GB2312" w:cs="仿宋_GB2312" w:hint="eastAsia"/>
          <w:b/>
          <w:bCs/>
          <w:color w:val="auto"/>
          <w:spacing w:val="9"/>
          <w:sz w:val="32"/>
          <w:szCs w:val="32"/>
          <w:highlight w:val="none"/>
          <w:lang w:val="en-US" w:eastAsia="zh-CN"/>
        </w:rPr>
        <w:t>六</w:t>
      </w:r>
      <w:r>
        <w:rPr>
          <w:rFonts w:ascii="仿宋_GB2312" w:eastAsia="仿宋_GB2312" w:hAnsi="仿宋_GB2312" w:cs="仿宋_GB2312" w:hint="eastAsia"/>
          <w:b/>
          <w:bCs/>
          <w:color w:val="auto"/>
          <w:spacing w:val="9"/>
          <w:sz w:val="32"/>
          <w:szCs w:val="32"/>
          <w:highlight w:val="none"/>
        </w:rPr>
        <w:t>条</w:t>
      </w:r>
      <w:r>
        <w:rPr>
          <w:rFonts w:ascii="仿宋_GB2312" w:eastAsia="仿宋_GB2312" w:hAnsi="仿宋_GB2312" w:cs="仿宋_GB2312" w:hint="eastAsia"/>
          <w:b/>
          <w:bCs/>
          <w:color w:val="auto"/>
          <w:spacing w:val="9"/>
          <w:sz w:val="32"/>
          <w:szCs w:val="32"/>
          <w:highlight w:val="none"/>
          <w:lang w:val="en-US" w:eastAsia="zh-CN"/>
        </w:rPr>
        <w:t xml:space="preserve"> </w:t>
      </w:r>
      <w:r>
        <w:rPr>
          <w:rFonts w:ascii="仿宋_GB2312" w:eastAsia="仿宋_GB2312" w:hAnsi="仿宋_GB2312" w:cs="仿宋_GB2312" w:hint="eastAsia"/>
          <w:color w:val="auto"/>
          <w:spacing w:val="9"/>
          <w:sz w:val="32"/>
          <w:szCs w:val="32"/>
          <w:highlight w:val="none"/>
        </w:rPr>
        <w:t>交易中心可根据情况，对市场主体因不良行</w:t>
      </w:r>
      <w:r>
        <w:rPr>
          <w:rFonts w:ascii="仿宋_GB2312" w:eastAsia="仿宋_GB2312" w:hAnsi="仿宋_GB2312" w:cs="仿宋_GB2312" w:hint="eastAsia"/>
          <w:color w:val="auto"/>
          <w:spacing w:val="7"/>
          <w:sz w:val="32"/>
          <w:szCs w:val="32"/>
          <w:highlight w:val="none"/>
        </w:rPr>
        <w:t>为被处置的情况予以公开披露。</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第二十</w:t>
      </w:r>
      <w:r>
        <w:rPr>
          <w:rFonts w:ascii="仿宋_GB2312" w:eastAsia="仿宋_GB2312" w:hAnsi="仿宋_GB2312" w:cs="仿宋_GB2312" w:hint="eastAsia"/>
          <w:b/>
          <w:bCs/>
          <w:color w:val="auto"/>
          <w:spacing w:val="12"/>
          <w:sz w:val="32"/>
          <w:szCs w:val="32"/>
          <w:highlight w:val="none"/>
          <w:lang w:val="en-US" w:eastAsia="zh-CN"/>
        </w:rPr>
        <w:t>七</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交易中心作出上述</w:t>
      </w:r>
      <w:r>
        <w:rPr>
          <w:rFonts w:ascii="仿宋_GB2312" w:eastAsia="仿宋_GB2312" w:hAnsi="仿宋_GB2312" w:cs="仿宋_GB2312" w:hint="eastAsia"/>
          <w:b/>
          <w:bCs/>
          <w:color w:val="auto"/>
          <w:spacing w:val="12"/>
          <w:sz w:val="32"/>
          <w:szCs w:val="32"/>
          <w:highlight w:val="none"/>
          <w:lang w:val="en-US" w:eastAsia="zh-CN"/>
        </w:rPr>
        <w:t>第二十四条</w:t>
      </w:r>
      <w:r>
        <w:rPr>
          <w:rFonts w:ascii="仿宋_GB2312" w:eastAsia="仿宋_GB2312" w:hAnsi="仿宋_GB2312" w:cs="仿宋_GB2312" w:hint="eastAsia"/>
          <w:color w:val="auto"/>
          <w:spacing w:val="12"/>
          <w:sz w:val="32"/>
          <w:szCs w:val="32"/>
          <w:highlight w:val="none"/>
        </w:rPr>
        <w:t>市场约束措施</w:t>
      </w:r>
      <w:r>
        <w:rPr>
          <w:rFonts w:ascii="仿宋_GB2312" w:eastAsia="仿宋_GB2312" w:hAnsi="仿宋_GB2312" w:cs="仿宋_GB2312" w:hint="eastAsia"/>
          <w:color w:val="auto"/>
          <w:spacing w:val="1"/>
          <w:sz w:val="32"/>
          <w:szCs w:val="32"/>
          <w:highlight w:val="none"/>
        </w:rPr>
        <w:t>的，应当制作不良行为处置决定书，载明当事人</w:t>
      </w:r>
      <w:r>
        <w:rPr>
          <w:rFonts w:ascii="仿宋_GB2312" w:eastAsia="仿宋_GB2312" w:hAnsi="仿宋_GB2312" w:cs="仿宋_GB2312" w:hint="eastAsia"/>
          <w:color w:val="auto"/>
          <w:sz w:val="32"/>
          <w:szCs w:val="32"/>
          <w:highlight w:val="none"/>
        </w:rPr>
        <w:t>姓名或名称、不良行为事实、相关依据、自律措施的种类和履行要求，以</w:t>
      </w:r>
      <w:r>
        <w:rPr>
          <w:rFonts w:ascii="仿宋_GB2312" w:eastAsia="仿宋_GB2312" w:hAnsi="仿宋_GB2312" w:cs="仿宋_GB2312" w:hint="eastAsia"/>
          <w:color w:val="auto"/>
          <w:spacing w:val="5"/>
          <w:sz w:val="32"/>
          <w:szCs w:val="32"/>
          <w:highlight w:val="none"/>
        </w:rPr>
        <w:t>及复核的途径和期限等内容，送达当事人，并抄报能源监管</w:t>
      </w:r>
      <w:r>
        <w:rPr>
          <w:rFonts w:ascii="仿宋_GB2312" w:eastAsia="仿宋_GB2312" w:hAnsi="仿宋_GB2312" w:cs="仿宋_GB2312" w:hint="eastAsia"/>
          <w:color w:val="auto"/>
          <w:spacing w:val="3"/>
          <w:sz w:val="32"/>
          <w:szCs w:val="32"/>
          <w:highlight w:val="none"/>
        </w:rPr>
        <w:t>机构、政府主管部门。</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第二十</w:t>
      </w:r>
      <w:r>
        <w:rPr>
          <w:rFonts w:ascii="仿宋_GB2312" w:eastAsia="仿宋_GB2312" w:hAnsi="仿宋_GB2312" w:cs="仿宋_GB2312" w:hint="eastAsia"/>
          <w:b/>
          <w:bCs/>
          <w:color w:val="auto"/>
          <w:spacing w:val="12"/>
          <w:sz w:val="32"/>
          <w:szCs w:val="32"/>
          <w:highlight w:val="none"/>
          <w:lang w:val="en-US" w:eastAsia="zh-CN"/>
        </w:rPr>
        <w:t>八</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交易中心可以直接或者委托</w:t>
      </w:r>
      <w:r>
        <w:rPr>
          <w:rFonts w:ascii="仿宋_GB2312" w:eastAsia="仿宋_GB2312" w:hAnsi="仿宋_GB2312" w:cs="仿宋_GB2312" w:hint="eastAsia"/>
          <w:color w:val="auto"/>
          <w:spacing w:val="12"/>
          <w:sz w:val="32"/>
          <w:szCs w:val="32"/>
          <w:highlight w:val="none"/>
          <w:lang w:val="en-US" w:eastAsia="zh-CN"/>
        </w:rPr>
        <w:t>第三方</w:t>
      </w:r>
      <w:r>
        <w:rPr>
          <w:rFonts w:ascii="仿宋_GB2312" w:eastAsia="仿宋_GB2312" w:hAnsi="仿宋_GB2312" w:cs="仿宋_GB2312" w:hint="eastAsia"/>
          <w:color w:val="auto"/>
          <w:spacing w:val="12"/>
          <w:sz w:val="32"/>
          <w:szCs w:val="32"/>
          <w:highlight w:val="none"/>
        </w:rPr>
        <w:t>机构送达</w:t>
      </w:r>
      <w:r>
        <w:rPr>
          <w:rFonts w:ascii="仿宋_GB2312" w:eastAsia="仿宋_GB2312" w:hAnsi="仿宋_GB2312" w:cs="仿宋_GB2312" w:hint="eastAsia"/>
          <w:color w:val="auto"/>
          <w:spacing w:val="14"/>
          <w:sz w:val="32"/>
          <w:szCs w:val="32"/>
          <w:highlight w:val="none"/>
        </w:rPr>
        <w:t>不良行为认定告知书和处置决定书，送达方式包括邮寄送</w:t>
      </w:r>
      <w:r>
        <w:rPr>
          <w:rFonts w:ascii="仿宋_GB2312" w:eastAsia="仿宋_GB2312" w:hAnsi="仿宋_GB2312" w:cs="仿宋_GB2312" w:hint="eastAsia"/>
          <w:color w:val="auto"/>
          <w:spacing w:val="4"/>
          <w:sz w:val="32"/>
          <w:szCs w:val="32"/>
          <w:highlight w:val="none"/>
        </w:rPr>
        <w:t>达、数据电文送达和公告送达。</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
          <w:sz w:val="32"/>
          <w:szCs w:val="32"/>
          <w:highlight w:val="none"/>
        </w:rPr>
        <w:t>以邮寄方式送达的，以回执上注明的收件日期为送达日期。</w:t>
      </w:r>
      <w:r>
        <w:rPr>
          <w:rFonts w:ascii="仿宋_GB2312" w:eastAsia="仿宋_GB2312" w:hAnsi="仿宋_GB2312" w:cs="仿宋_GB2312" w:hint="eastAsia"/>
          <w:color w:val="auto"/>
          <w:spacing w:val="4"/>
          <w:sz w:val="32"/>
          <w:szCs w:val="32"/>
          <w:highlight w:val="none"/>
        </w:rPr>
        <w:t>以数据电文方式送达的，该数据</w:t>
      </w:r>
      <w:r>
        <w:rPr>
          <w:rFonts w:ascii="仿宋_GB2312" w:eastAsia="仿宋_GB2312" w:hAnsi="仿宋_GB2312" w:cs="仿宋_GB2312" w:hint="eastAsia"/>
          <w:color w:val="auto"/>
          <w:spacing w:val="3"/>
          <w:sz w:val="32"/>
          <w:szCs w:val="32"/>
          <w:highlight w:val="none"/>
        </w:rPr>
        <w:t>电文进入当事人</w:t>
      </w:r>
      <w:r>
        <w:rPr>
          <w:rFonts w:ascii="仿宋_GB2312" w:eastAsia="仿宋_GB2312" w:hAnsi="仿宋_GB2312" w:cs="仿宋_GB2312" w:hint="eastAsia"/>
          <w:color w:val="auto"/>
          <w:spacing w:val="7"/>
          <w:sz w:val="32"/>
          <w:szCs w:val="32"/>
          <w:highlight w:val="none"/>
        </w:rPr>
        <w:t>的特定系统即视为送达。</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受送达人下落不明、或者用前款规定的方式无法送达的</w:t>
      </w:r>
      <w:r>
        <w:rPr>
          <w:rFonts w:ascii="仿宋_GB2312" w:eastAsia="仿宋_GB2312" w:hAnsi="仿宋_GB2312" w:cs="仿宋_GB2312" w:hint="eastAsia"/>
          <w:color w:val="auto"/>
          <w:spacing w:val="2"/>
          <w:sz w:val="32"/>
          <w:szCs w:val="32"/>
          <w:highlight w:val="none"/>
        </w:rPr>
        <w:t>，交易中心通过本中心网站发布公告，自公告之日起满</w:t>
      </w:r>
      <w:r>
        <w:rPr>
          <w:rFonts w:ascii="仿宋_GB2312" w:eastAsia="仿宋_GB2312" w:hAnsi="仿宋_GB2312" w:cs="仿宋_GB2312" w:hint="default"/>
          <w:color w:val="auto"/>
          <w:spacing w:val="2"/>
          <w:sz w:val="32"/>
          <w:szCs w:val="32"/>
          <w:highlight w:val="none"/>
          <w:lang w:val="en-US"/>
        </w:rPr>
        <w:t>5</w:t>
      </w:r>
      <w:r>
        <w:rPr>
          <w:rFonts w:ascii="仿宋_GB2312" w:eastAsia="仿宋_GB2312" w:hAnsi="仿宋_GB2312" w:cs="仿宋_GB2312" w:hint="eastAsia"/>
          <w:color w:val="auto"/>
          <w:spacing w:val="2"/>
          <w:sz w:val="32"/>
          <w:szCs w:val="32"/>
          <w:highlight w:val="none"/>
        </w:rPr>
        <w:t>个工作日即视为送达。</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16"/>
          <w:sz w:val="32"/>
          <w:szCs w:val="32"/>
          <w:highlight w:val="none"/>
        </w:rPr>
        <w:t>通过</w:t>
      </w:r>
      <w:r>
        <w:rPr>
          <w:rFonts w:ascii="仿宋_GB2312" w:eastAsia="仿宋_GB2312" w:hAnsi="仿宋_GB2312" w:cs="仿宋_GB2312" w:hint="default"/>
          <w:color w:val="auto"/>
          <w:spacing w:val="16"/>
          <w:sz w:val="32"/>
          <w:szCs w:val="32"/>
          <w:highlight w:val="none"/>
          <w:lang w:val="en-US"/>
        </w:rPr>
        <w:t>两</w:t>
      </w:r>
      <w:r>
        <w:rPr>
          <w:rFonts w:ascii="仿宋_GB2312" w:eastAsia="仿宋_GB2312" w:hAnsi="仿宋_GB2312" w:cs="仿宋_GB2312" w:hint="eastAsia"/>
          <w:color w:val="auto"/>
          <w:spacing w:val="16"/>
          <w:sz w:val="32"/>
          <w:szCs w:val="32"/>
          <w:highlight w:val="none"/>
        </w:rPr>
        <w:t>种以上方式送达的，以最先送达之日为送达日</w:t>
      </w:r>
      <w:r>
        <w:rPr>
          <w:rFonts w:ascii="仿宋_GB2312" w:eastAsia="仿宋_GB2312" w:hAnsi="仿宋_GB2312" w:cs="仿宋_GB2312" w:hint="eastAsia"/>
          <w:color w:val="auto"/>
          <w:spacing w:val="-5"/>
          <w:sz w:val="32"/>
          <w:szCs w:val="32"/>
          <w:highlight w:val="none"/>
        </w:rPr>
        <w:t>期。</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当事人的邮寄地址、传真号码、电话号码、电子邮箱等</w:t>
      </w:r>
      <w:r>
        <w:rPr>
          <w:rFonts w:ascii="仿宋_GB2312" w:eastAsia="仿宋_GB2312" w:hAnsi="仿宋_GB2312" w:cs="仿宋_GB2312" w:hint="eastAsia"/>
          <w:color w:val="auto"/>
          <w:spacing w:val="6"/>
          <w:sz w:val="32"/>
          <w:szCs w:val="32"/>
          <w:highlight w:val="none"/>
        </w:rPr>
        <w:t>联系方式以电力交易系统留存为准。当事人留存的联系方式</w:t>
      </w:r>
      <w:r>
        <w:rPr>
          <w:rFonts w:ascii="仿宋_GB2312" w:eastAsia="仿宋_GB2312" w:hAnsi="仿宋_GB2312" w:cs="仿宋_GB2312" w:hint="eastAsia"/>
          <w:color w:val="auto"/>
          <w:spacing w:val="7"/>
          <w:sz w:val="32"/>
          <w:szCs w:val="32"/>
          <w:highlight w:val="none"/>
        </w:rPr>
        <w:t>不准确或信息变更未书面告知交易中心的，应当自行承担</w:t>
      </w:r>
      <w:r>
        <w:rPr>
          <w:rFonts w:ascii="仿宋_GB2312" w:eastAsia="仿宋_GB2312" w:hAnsi="仿宋_GB2312" w:cs="仿宋_GB2312" w:hint="default"/>
          <w:color w:val="auto"/>
          <w:spacing w:val="7"/>
          <w:sz w:val="32"/>
          <w:szCs w:val="32"/>
          <w:highlight w:val="none"/>
          <w:lang w:val="en-US"/>
        </w:rPr>
        <w:t>相</w:t>
      </w:r>
      <w:r>
        <w:rPr>
          <w:rFonts w:ascii="仿宋_GB2312" w:eastAsia="仿宋_GB2312" w:hAnsi="仿宋_GB2312" w:cs="仿宋_GB2312" w:hint="default"/>
          <w:color w:val="auto"/>
          <w:spacing w:val="4"/>
          <w:sz w:val="32"/>
          <w:szCs w:val="32"/>
          <w:highlight w:val="none"/>
          <w:lang w:val="en-US"/>
        </w:rPr>
        <w:t>应</w:t>
      </w:r>
      <w:r>
        <w:rPr>
          <w:rFonts w:ascii="仿宋_GB2312" w:eastAsia="仿宋_GB2312" w:hAnsi="仿宋_GB2312" w:cs="仿宋_GB2312" w:hint="eastAsia"/>
          <w:color w:val="auto"/>
          <w:spacing w:val="4"/>
          <w:sz w:val="32"/>
          <w:szCs w:val="32"/>
          <w:highlight w:val="none"/>
        </w:rPr>
        <w:t>后果。</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第二十</w:t>
      </w:r>
      <w:r>
        <w:rPr>
          <w:rFonts w:ascii="仿宋_GB2312" w:eastAsia="仿宋_GB2312" w:hAnsi="仿宋_GB2312" w:cs="仿宋_GB2312" w:hint="eastAsia"/>
          <w:b/>
          <w:bCs/>
          <w:color w:val="auto"/>
          <w:spacing w:val="12"/>
          <w:sz w:val="32"/>
          <w:szCs w:val="32"/>
          <w:highlight w:val="none"/>
          <w:lang w:val="en-US" w:eastAsia="zh-CN"/>
        </w:rPr>
        <w:t>九</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交易中心作出的不良行为处置决定书自送</w:t>
      </w:r>
      <w:r>
        <w:rPr>
          <w:rFonts w:ascii="仿宋_GB2312" w:eastAsia="仿宋_GB2312" w:hAnsi="仿宋_GB2312" w:cs="仿宋_GB2312" w:hint="eastAsia"/>
          <w:color w:val="auto"/>
          <w:spacing w:val="6"/>
          <w:sz w:val="32"/>
          <w:szCs w:val="32"/>
          <w:highlight w:val="none"/>
        </w:rPr>
        <w:t>达之日起生效。</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rPr>
        <w:t>当事人对不良行为处置决定书不服的，可以自决定书生</w:t>
      </w:r>
      <w:r>
        <w:rPr>
          <w:rFonts w:ascii="仿宋_GB2312" w:eastAsia="仿宋_GB2312" w:hAnsi="仿宋_GB2312" w:cs="仿宋_GB2312" w:hint="eastAsia"/>
          <w:color w:val="auto"/>
          <w:spacing w:val="7"/>
          <w:sz w:val="32"/>
          <w:szCs w:val="32"/>
          <w:highlight w:val="none"/>
        </w:rPr>
        <w:t>效之日起10个工作日内向交易中心书面申请复核一次，复</w:t>
      </w:r>
      <w:r>
        <w:rPr>
          <w:rFonts w:ascii="仿宋_GB2312" w:eastAsia="仿宋_GB2312" w:hAnsi="仿宋_GB2312" w:cs="仿宋_GB2312" w:hint="eastAsia"/>
          <w:color w:val="auto"/>
          <w:spacing w:val="8"/>
          <w:sz w:val="32"/>
          <w:szCs w:val="32"/>
          <w:highlight w:val="none"/>
        </w:rPr>
        <w:t>核期间可不停止决定的执行。</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12"/>
          <w:sz w:val="32"/>
          <w:szCs w:val="32"/>
          <w:highlight w:val="none"/>
        </w:rPr>
        <w:t>第</w:t>
      </w:r>
      <w:r>
        <w:rPr>
          <w:rFonts w:ascii="仿宋_GB2312" w:eastAsia="仿宋_GB2312" w:hAnsi="仿宋_GB2312" w:cs="仿宋_GB2312" w:hint="eastAsia"/>
          <w:b/>
          <w:bCs/>
          <w:color w:val="auto"/>
          <w:spacing w:val="12"/>
          <w:sz w:val="32"/>
          <w:szCs w:val="32"/>
          <w:highlight w:val="none"/>
          <w:lang w:val="en-US" w:eastAsia="zh-CN"/>
        </w:rPr>
        <w:t>三十</w:t>
      </w:r>
      <w:r>
        <w:rPr>
          <w:rFonts w:ascii="仿宋_GB2312" w:eastAsia="仿宋_GB2312" w:hAnsi="仿宋_GB2312" w:cs="仿宋_GB2312" w:hint="eastAsia"/>
          <w:b/>
          <w:bCs/>
          <w:color w:val="auto"/>
          <w:spacing w:val="12"/>
          <w:sz w:val="32"/>
          <w:szCs w:val="32"/>
          <w:highlight w:val="none"/>
        </w:rPr>
        <w:t>条</w:t>
      </w:r>
      <w:r>
        <w:rPr>
          <w:rFonts w:ascii="仿宋_GB2312" w:eastAsia="仿宋_GB2312" w:hAnsi="仿宋_GB2312" w:cs="仿宋_GB2312" w:hint="eastAsia"/>
          <w:b/>
          <w:bCs/>
          <w:color w:val="auto"/>
          <w:spacing w:val="12"/>
          <w:sz w:val="32"/>
          <w:szCs w:val="32"/>
          <w:highlight w:val="none"/>
          <w:lang w:val="en-US" w:eastAsia="zh-CN"/>
        </w:rPr>
        <w:t xml:space="preserve"> </w:t>
      </w:r>
      <w:r>
        <w:rPr>
          <w:rFonts w:ascii="仿宋_GB2312" w:eastAsia="仿宋_GB2312" w:hAnsi="仿宋_GB2312" w:cs="仿宋_GB2312" w:hint="eastAsia"/>
          <w:color w:val="auto"/>
          <w:spacing w:val="12"/>
          <w:sz w:val="32"/>
          <w:szCs w:val="32"/>
          <w:highlight w:val="none"/>
        </w:rPr>
        <w:t>交易中心应当于收到复核申请书之日起两</w:t>
      </w:r>
      <w:r>
        <w:rPr>
          <w:rFonts w:ascii="仿宋_GB2312" w:eastAsia="仿宋_GB2312" w:hAnsi="仿宋_GB2312" w:cs="仿宋_GB2312" w:hint="eastAsia"/>
          <w:color w:val="auto"/>
          <w:spacing w:val="7"/>
          <w:sz w:val="32"/>
          <w:szCs w:val="32"/>
          <w:highlight w:val="none"/>
        </w:rPr>
        <w:t>个月内作出复核决定。</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7"/>
          <w:sz w:val="32"/>
          <w:szCs w:val="32"/>
          <w:highlight w:val="none"/>
          <w:lang w:val="en-US" w:eastAsia="zh-CN"/>
        </w:rPr>
        <w:t>三十一</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市场主体</w:t>
      </w:r>
      <w:r>
        <w:rPr>
          <w:rFonts w:ascii="仿宋_GB2312" w:eastAsia="仿宋_GB2312" w:hAnsi="仿宋_GB2312" w:cs="仿宋_GB2312" w:hint="eastAsia"/>
          <w:color w:val="auto"/>
          <w:spacing w:val="7"/>
          <w:sz w:val="32"/>
          <w:szCs w:val="32"/>
          <w:highlight w:val="none"/>
          <w:lang w:val="en-US" w:eastAsia="zh-CN"/>
        </w:rPr>
        <w:t>及从业人员</w:t>
      </w:r>
      <w:r>
        <w:rPr>
          <w:rFonts w:ascii="仿宋_GB2312" w:eastAsia="仿宋_GB2312" w:hAnsi="仿宋_GB2312" w:cs="仿宋_GB2312" w:hint="eastAsia"/>
          <w:color w:val="auto"/>
          <w:spacing w:val="7"/>
          <w:sz w:val="32"/>
          <w:szCs w:val="32"/>
          <w:highlight w:val="none"/>
        </w:rPr>
        <w:t>应当履行或者配合履行交易中心不良行为处置决定，不履行或者不配合履行不良行为处</w:t>
      </w:r>
      <w:r>
        <w:rPr>
          <w:rFonts w:ascii="仿宋_GB2312" w:eastAsia="仿宋_GB2312" w:hAnsi="仿宋_GB2312" w:cs="仿宋_GB2312" w:hint="eastAsia"/>
          <w:color w:val="auto"/>
          <w:spacing w:val="6"/>
          <w:sz w:val="32"/>
          <w:szCs w:val="32"/>
          <w:highlight w:val="none"/>
        </w:rPr>
        <w:t>置决定中相关义务的，不影响交易中心采取相应处置措施。</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2"/>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7"/>
          <w:sz w:val="32"/>
          <w:szCs w:val="32"/>
          <w:highlight w:val="none"/>
          <w:lang w:val="en-US" w:eastAsia="zh-CN"/>
        </w:rPr>
        <w:t>三十二</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交易中心按月度统计</w:t>
      </w:r>
      <w:r>
        <w:rPr>
          <w:rFonts w:ascii="仿宋_GB2312" w:eastAsia="仿宋_GB2312" w:hAnsi="仿宋_GB2312" w:cs="仿宋_GB2312" w:hint="eastAsia"/>
          <w:color w:val="auto"/>
          <w:spacing w:val="7"/>
          <w:sz w:val="32"/>
          <w:szCs w:val="32"/>
          <w:highlight w:val="none"/>
          <w:lang w:eastAsia="zh-CN"/>
        </w:rPr>
        <w:t>海南</w:t>
      </w:r>
      <w:r>
        <w:rPr>
          <w:rFonts w:ascii="仿宋_GB2312" w:eastAsia="仿宋_GB2312" w:hAnsi="仿宋_GB2312" w:cs="仿宋_GB2312" w:hint="eastAsia"/>
          <w:color w:val="auto"/>
          <w:spacing w:val="7"/>
          <w:sz w:val="32"/>
          <w:szCs w:val="32"/>
          <w:highlight w:val="none"/>
        </w:rPr>
        <w:t>电力市场经认定</w:t>
      </w:r>
      <w:r>
        <w:rPr>
          <w:rFonts w:ascii="仿宋_GB2312" w:eastAsia="仿宋_GB2312" w:hAnsi="仿宋_GB2312" w:cs="仿宋_GB2312" w:hint="eastAsia"/>
          <w:color w:val="auto"/>
          <w:spacing w:val="6"/>
          <w:sz w:val="32"/>
          <w:szCs w:val="32"/>
          <w:highlight w:val="none"/>
        </w:rPr>
        <w:t>的市场主体不良行为及其处理情况，书面报告能源监管机</w:t>
      </w:r>
      <w:r>
        <w:rPr>
          <w:rFonts w:ascii="仿宋_GB2312" w:eastAsia="仿宋_GB2312" w:hAnsi="仿宋_GB2312" w:cs="仿宋_GB2312" w:hint="eastAsia"/>
          <w:color w:val="auto"/>
          <w:spacing w:val="2"/>
          <w:sz w:val="32"/>
          <w:szCs w:val="32"/>
          <w:highlight w:val="none"/>
        </w:rPr>
        <w:t>构、政府主管部门。</w:t>
      </w:r>
    </w:p>
    <w:p>
      <w:pPr>
        <w:pStyle w:val="BodyText"/>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0" w:leftChars="0" w:rightChars="0" w:firstLineChars="0"/>
        <w:jc w:val="center"/>
        <w:textAlignment w:val="baseline"/>
        <w:rPr>
          <w:rFonts w:ascii="仿宋_GB2312" w:eastAsia="仿宋_GB2312" w:hAnsi="仿宋_GB2312" w:cs="仿宋_GB2312" w:hint="default"/>
          <w:b/>
          <w:bCs/>
          <w:color w:val="auto"/>
          <w:spacing w:val="13"/>
          <w:sz w:val="32"/>
          <w:szCs w:val="32"/>
          <w:highlight w:val="none"/>
          <w:lang w:val="en-US"/>
        </w:rPr>
      </w:pPr>
      <w:r>
        <w:rPr>
          <w:rFonts w:ascii="黑体" w:eastAsia="黑体" w:hAnsi="黑体" w:cs="黑体" w:hint="eastAsia"/>
          <w:b/>
          <w:bCs/>
          <w:color w:val="auto"/>
          <w:spacing w:val="9"/>
          <w:sz w:val="32"/>
          <w:szCs w:val="32"/>
          <w:highlight w:val="none"/>
          <w:lang w:val="en-US" w:eastAsia="zh-CN"/>
        </w:rPr>
        <w:t>第五章 附则</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9"/>
          <w:sz w:val="32"/>
          <w:szCs w:val="32"/>
          <w:highlight w:val="none"/>
        </w:rPr>
        <w:t>第</w:t>
      </w:r>
      <w:r>
        <w:rPr>
          <w:rFonts w:ascii="仿宋_GB2312" w:eastAsia="仿宋_GB2312" w:hAnsi="仿宋_GB2312" w:cs="仿宋_GB2312" w:hint="eastAsia"/>
          <w:b/>
          <w:bCs/>
          <w:color w:val="auto"/>
          <w:spacing w:val="9"/>
          <w:sz w:val="32"/>
          <w:szCs w:val="32"/>
          <w:highlight w:val="none"/>
          <w:lang w:val="en-US" w:eastAsia="zh-CN"/>
        </w:rPr>
        <w:t>三十三</w:t>
      </w:r>
      <w:r>
        <w:rPr>
          <w:rFonts w:ascii="仿宋_GB2312" w:eastAsia="仿宋_GB2312" w:hAnsi="仿宋_GB2312" w:cs="仿宋_GB2312" w:hint="eastAsia"/>
          <w:b/>
          <w:bCs/>
          <w:color w:val="auto"/>
          <w:spacing w:val="9"/>
          <w:sz w:val="32"/>
          <w:szCs w:val="32"/>
          <w:highlight w:val="none"/>
        </w:rPr>
        <w:t>条</w:t>
      </w:r>
      <w:r>
        <w:rPr>
          <w:rFonts w:ascii="仿宋_GB2312" w:eastAsia="仿宋_GB2312" w:hAnsi="仿宋_GB2312" w:cs="仿宋_GB2312" w:hint="eastAsia"/>
          <w:b/>
          <w:bCs/>
          <w:color w:val="auto"/>
          <w:spacing w:val="9"/>
          <w:sz w:val="32"/>
          <w:szCs w:val="32"/>
          <w:highlight w:val="none"/>
          <w:lang w:val="en-US" w:eastAsia="zh-CN"/>
        </w:rPr>
        <w:t xml:space="preserve"> </w:t>
      </w:r>
      <w:r>
        <w:rPr>
          <w:rFonts w:ascii="仿宋_GB2312" w:eastAsia="仿宋_GB2312" w:hAnsi="仿宋_GB2312" w:cs="仿宋_GB2312" w:hint="eastAsia"/>
          <w:color w:val="auto"/>
          <w:spacing w:val="9"/>
          <w:sz w:val="32"/>
          <w:szCs w:val="32"/>
          <w:highlight w:val="none"/>
        </w:rPr>
        <w:t>本办法为试行办法，后续可根据实施情况</w:t>
      </w:r>
      <w:r>
        <w:rPr>
          <w:rFonts w:ascii="仿宋_GB2312" w:eastAsia="仿宋_GB2312" w:hAnsi="仿宋_GB2312" w:cs="仿宋_GB2312" w:hint="eastAsia"/>
          <w:color w:val="auto"/>
          <w:sz w:val="32"/>
          <w:szCs w:val="32"/>
          <w:highlight w:val="none"/>
        </w:rPr>
        <w:t>和上级部门新的规章规定、政策文件按程序进行调整、完善。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7"/>
          <w:sz w:val="32"/>
          <w:szCs w:val="32"/>
          <w:highlight w:val="none"/>
        </w:rPr>
        <w:t>第</w:t>
      </w:r>
      <w:r>
        <w:rPr>
          <w:rFonts w:ascii="仿宋_GB2312" w:eastAsia="仿宋_GB2312" w:hAnsi="仿宋_GB2312" w:cs="仿宋_GB2312" w:hint="eastAsia"/>
          <w:b/>
          <w:bCs/>
          <w:color w:val="auto"/>
          <w:spacing w:val="7"/>
          <w:sz w:val="32"/>
          <w:szCs w:val="32"/>
          <w:highlight w:val="none"/>
          <w:lang w:val="en-US" w:eastAsia="zh-CN"/>
        </w:rPr>
        <w:t>三十四</w:t>
      </w:r>
      <w:r>
        <w:rPr>
          <w:rFonts w:ascii="仿宋_GB2312" w:eastAsia="仿宋_GB2312" w:hAnsi="仿宋_GB2312" w:cs="仿宋_GB2312" w:hint="eastAsia"/>
          <w:b/>
          <w:bCs/>
          <w:color w:val="auto"/>
          <w:spacing w:val="7"/>
          <w:sz w:val="32"/>
          <w:szCs w:val="32"/>
          <w:highlight w:val="none"/>
        </w:rPr>
        <w:t>条</w:t>
      </w:r>
      <w:r>
        <w:rPr>
          <w:rFonts w:ascii="仿宋_GB2312" w:eastAsia="仿宋_GB2312" w:hAnsi="仿宋_GB2312" w:cs="仿宋_GB2312" w:hint="eastAsia"/>
          <w:b/>
          <w:bCs/>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本办法由</w:t>
      </w:r>
      <w:r>
        <w:rPr>
          <w:rFonts w:ascii="仿宋_GB2312" w:eastAsia="仿宋_GB2312" w:hAnsi="仿宋_GB2312" w:cs="仿宋_GB2312" w:hint="eastAsia"/>
          <w:color w:val="auto"/>
          <w:spacing w:val="7"/>
          <w:sz w:val="32"/>
          <w:szCs w:val="32"/>
          <w:highlight w:val="none"/>
          <w:lang w:eastAsia="zh-CN"/>
        </w:rPr>
        <w:t>海南</w:t>
      </w:r>
      <w:r>
        <w:rPr>
          <w:rFonts w:ascii="仿宋_GB2312" w:eastAsia="仿宋_GB2312" w:hAnsi="仿宋_GB2312" w:cs="仿宋_GB2312" w:hint="eastAsia"/>
          <w:color w:val="auto"/>
          <w:spacing w:val="7"/>
          <w:sz w:val="32"/>
          <w:szCs w:val="32"/>
          <w:highlight w:val="none"/>
        </w:rPr>
        <w:t>电力交易中心负责解释。</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pacing w:val="6"/>
          <w:sz w:val="32"/>
          <w:szCs w:val="32"/>
          <w:highlight w:val="none"/>
        </w:rPr>
        <w:t>第</w:t>
      </w:r>
      <w:r>
        <w:rPr>
          <w:rFonts w:ascii="仿宋_GB2312" w:eastAsia="仿宋_GB2312" w:hAnsi="仿宋_GB2312" w:cs="仿宋_GB2312" w:hint="eastAsia"/>
          <w:b/>
          <w:bCs/>
          <w:color w:val="auto"/>
          <w:spacing w:val="6"/>
          <w:sz w:val="32"/>
          <w:szCs w:val="32"/>
          <w:highlight w:val="none"/>
          <w:lang w:val="en-US" w:eastAsia="zh-CN"/>
        </w:rPr>
        <w:t>三十五</w:t>
      </w:r>
      <w:r>
        <w:rPr>
          <w:rFonts w:ascii="仿宋_GB2312" w:eastAsia="仿宋_GB2312" w:hAnsi="仿宋_GB2312" w:cs="仿宋_GB2312" w:hint="eastAsia"/>
          <w:b/>
          <w:bCs/>
          <w:color w:val="auto"/>
          <w:spacing w:val="6"/>
          <w:sz w:val="32"/>
          <w:szCs w:val="32"/>
          <w:highlight w:val="none"/>
        </w:rPr>
        <w:t>条</w:t>
      </w:r>
      <w:r>
        <w:rPr>
          <w:rFonts w:ascii="仿宋_GB2312" w:eastAsia="仿宋_GB2312" w:hAnsi="仿宋_GB2312" w:cs="仿宋_GB2312" w:hint="eastAsia"/>
          <w:b/>
          <w:bCs/>
          <w:color w:val="auto"/>
          <w:spacing w:val="6"/>
          <w:sz w:val="32"/>
          <w:szCs w:val="32"/>
          <w:highlight w:val="none"/>
          <w:lang w:val="en-US" w:eastAsia="zh-CN"/>
        </w:rPr>
        <w:t xml:space="preserve"> </w:t>
      </w:r>
      <w:r>
        <w:rPr>
          <w:rFonts w:ascii="仿宋_GB2312" w:eastAsia="仿宋_GB2312" w:hAnsi="仿宋_GB2312" w:cs="仿宋_GB2312" w:hint="eastAsia"/>
          <w:color w:val="auto"/>
          <w:spacing w:val="6"/>
          <w:sz w:val="32"/>
          <w:szCs w:val="32"/>
          <w:highlight w:val="none"/>
        </w:rPr>
        <w:t>本办法自公布之日起实施。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仿宋_GB2312" w:eastAsia="仿宋_GB2312" w:hAnsi="仿宋_GB2312" w:cs="仿宋_GB2312" w:hint="eastAsia"/>
          <w:color w:val="auto"/>
          <w:highlight w:val="none"/>
        </w:rPr>
        <w:sectPr>
          <w:footerReference w:type="default" r:id="rId5"/>
          <w:pgSz w:w="11906" w:h="16838"/>
          <w:pgMar w:top="1440" w:right="1800" w:bottom="1440" w:left="1800" w:header="0" w:footer="981" w:gutter="0"/>
          <w:pgNumType w:fmt="decimal"/>
          <w:cols w:num="1" w:space="0"/>
          <w:rtlGutter w:val="0"/>
          <w:docGrid w:linePitch="0" w:charSpace="0"/>
        </w:sectPr>
      </w:pP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黑体" w:eastAsia="黑体" w:hAnsi="黑体" w:cs="黑体" w:hint="eastAsia"/>
          <w:color w:val="auto"/>
          <w:spacing w:val="4"/>
          <w:highlight w:val="none"/>
        </w:rPr>
      </w:pPr>
      <w:r>
        <w:rPr>
          <w:rFonts w:ascii="黑体" w:eastAsia="黑体" w:hAnsi="黑体" w:cs="黑体" w:hint="eastAsia"/>
          <w:color w:val="auto"/>
          <w:spacing w:val="4"/>
          <w:highlight w:val="none"/>
        </w:rPr>
        <w:t>附件1</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黑体" w:eastAsia="黑体" w:hAnsi="黑体" w:cs="黑体" w:hint="eastAsia"/>
          <w:b w:val="0"/>
          <w:bCs w:val="0"/>
          <w:color w:val="auto"/>
          <w:spacing w:val="6"/>
          <w:sz w:val="32"/>
          <w:szCs w:val="32"/>
          <w:highlight w:val="none"/>
          <w:lang w:eastAsia="zh-CN"/>
        </w:rPr>
      </w:pPr>
      <w:r>
        <w:rPr>
          <w:rFonts w:ascii="黑体" w:eastAsia="黑体" w:hAnsi="黑体" w:cs="黑体" w:hint="eastAsia"/>
          <w:b w:val="0"/>
          <w:bCs w:val="0"/>
          <w:color w:val="auto"/>
          <w:spacing w:val="6"/>
          <w:sz w:val="32"/>
          <w:szCs w:val="32"/>
          <w:highlight w:val="none"/>
          <w:lang w:eastAsia="zh-CN"/>
        </w:rPr>
        <w:t>交易行为异常认定标准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黑体" w:eastAsia="黑体" w:hAnsi="黑体" w:cs="黑体" w:hint="eastAsia"/>
          <w:b w:val="0"/>
          <w:bCs w:val="0"/>
          <w:color w:val="auto"/>
          <w:spacing w:val="6"/>
          <w:sz w:val="32"/>
          <w:szCs w:val="32"/>
          <w:highlight w:val="none"/>
          <w:lang w:eastAsia="zh-CN"/>
        </w:rPr>
      </w:pP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本标准所称交易行为异常风险包含但不限于</w:t>
      </w:r>
      <w:r>
        <w:rPr>
          <w:rFonts w:ascii="仿宋_GB2312" w:eastAsia="仿宋_GB2312" w:hAnsi="仿宋_GB2312" w:cs="仿宋_GB2312" w:hint="eastAsia"/>
          <w:color w:val="auto"/>
          <w:spacing w:val="5"/>
          <w:sz w:val="32"/>
          <w:szCs w:val="32"/>
          <w:highlight w:val="none"/>
          <w:lang w:val="en-US" w:eastAsia="zh-CN"/>
        </w:rPr>
        <w:t>市场主体</w:t>
      </w:r>
      <w:r>
        <w:rPr>
          <w:rFonts w:ascii="仿宋_GB2312" w:eastAsia="仿宋_GB2312" w:hAnsi="仿宋_GB2312" w:cs="仿宋_GB2312" w:hint="eastAsia"/>
          <w:color w:val="auto"/>
          <w:spacing w:val="5"/>
          <w:sz w:val="32"/>
          <w:szCs w:val="32"/>
          <w:highlight w:val="none"/>
          <w:lang w:eastAsia="zh-CN"/>
        </w:rPr>
        <w:t>参与市场交易时，违反公平竞争原则，通过使用不正当手段获取不正当利益，损害市场公共利益、扰乱市场秩序等情况。</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市场运营机构根据本标准规定的交易行为异常类型，结合申报信息、操作日志、市场占比、价格波动情况和市场整体情况等因素进行定性与定量分析，对</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主体交易行为异常进行认定。</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主体交易行为虽未达到相关监控指标，但接近指标且多次实施同类型异常交易行为的，市场运营机构可将其认定为相应类型的异常交易行为。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市场运营机构可以根据市场情况，调整交易行为异常监控和认定标准。</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主体同时存在买、卖两个方向的申报或者成交时，按照单个方向分别计算相关申报电量、申报价格、成交电量、成交价格、全市场申报总电量等指标。</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楷体" w:eastAsia="楷体" w:hAnsi="楷体" w:cs="楷体" w:hint="eastAsia"/>
          <w:color w:val="auto"/>
          <w:spacing w:val="5"/>
          <w:sz w:val="32"/>
          <w:szCs w:val="32"/>
          <w:highlight w:val="none"/>
          <w:lang w:eastAsia="zh-CN"/>
        </w:rPr>
      </w:pPr>
      <w:r>
        <w:rPr>
          <w:rFonts w:ascii="楷体" w:eastAsia="楷体" w:hAnsi="楷体" w:cs="楷体" w:hint="eastAsia"/>
          <w:color w:val="auto"/>
          <w:spacing w:val="5"/>
          <w:sz w:val="32"/>
          <w:szCs w:val="32"/>
          <w:highlight w:val="none"/>
          <w:lang w:eastAsia="zh-CN"/>
        </w:rPr>
        <w:t>一、串通报价行为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串通报价行为，是指两个及以上</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主体通过串通报价等方式协调其相互竞争关系，从而使共同利润最大化的行为。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在交易时，存在下列情形的，市场运营机构对有关交易行为予以重点监控:</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(1)不具有实际控制关系的</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主体使用具有相同或接近的网络IP地址等进行交易申报的;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(2)不具有实际控制关系的</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主体频繁出现关联性申报行为的;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(3)</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主体使用与其不具有实际控制关系的其他经营主体的交易账号、密码或密钥、数字证书等进行交易申报的;</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(4)其他涉嫌串通报价行为的情形。</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楷体" w:eastAsia="楷体" w:hAnsi="楷体" w:cs="楷体" w:hint="eastAsia"/>
          <w:color w:val="auto"/>
          <w:spacing w:val="5"/>
          <w:sz w:val="32"/>
          <w:szCs w:val="32"/>
          <w:highlight w:val="none"/>
          <w:lang w:eastAsia="zh-CN"/>
        </w:rPr>
      </w:pPr>
      <w:r>
        <w:rPr>
          <w:rFonts w:ascii="楷体" w:eastAsia="楷体" w:hAnsi="楷体" w:cs="楷体" w:hint="eastAsia"/>
          <w:color w:val="auto"/>
          <w:spacing w:val="5"/>
          <w:sz w:val="32"/>
          <w:szCs w:val="32"/>
          <w:highlight w:val="none"/>
          <w:lang w:eastAsia="zh-CN"/>
        </w:rPr>
        <w:t>二、申报频率异常</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申报频率异常，是指</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主体在短时间内集中提报多条申报记录或者向电力交易平台发送请求数超过正常范围的行为。</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在交易时，存在下列情形之一的，市场运营机构对有关交易行为予以重点监控:</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(1)不同申报信息提交时间间隔有明显规律;</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(2)相邻两条申报信息时间间隔过短;</w:t>
      </w:r>
    </w:p>
    <w:p>
      <w:pPr>
        <w:pStyle w:val="BodyText"/>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r>
        <w:rPr>
          <w:rFonts w:ascii="仿宋_GB2312" w:eastAsia="仿宋_GB2312" w:hAnsi="仿宋_GB2312" w:cs="仿宋_GB2312" w:hint="eastAsia"/>
          <w:color w:val="auto"/>
          <w:spacing w:val="5"/>
          <w:sz w:val="32"/>
          <w:szCs w:val="32"/>
          <w:highlight w:val="none"/>
          <w:lang w:eastAsia="zh-CN"/>
        </w:rPr>
        <w:t>(3)单次交易中向电力交易平台发送请求数超过其他</w:t>
      </w:r>
      <w:r>
        <w:rPr>
          <w:rFonts w:ascii="仿宋_GB2312" w:eastAsia="仿宋_GB2312" w:hAnsi="仿宋_GB2312" w:cs="仿宋_GB2312" w:hint="eastAsia"/>
          <w:color w:val="auto"/>
          <w:spacing w:val="5"/>
          <w:sz w:val="32"/>
          <w:szCs w:val="32"/>
          <w:highlight w:val="none"/>
          <w:lang w:val="en-US" w:eastAsia="zh-CN"/>
        </w:rPr>
        <w:t>市场</w:t>
      </w:r>
      <w:r>
        <w:rPr>
          <w:rFonts w:ascii="仿宋_GB2312" w:eastAsia="仿宋_GB2312" w:hAnsi="仿宋_GB2312" w:cs="仿宋_GB2312" w:hint="eastAsia"/>
          <w:color w:val="auto"/>
          <w:spacing w:val="5"/>
          <w:sz w:val="32"/>
          <w:szCs w:val="32"/>
          <w:highlight w:val="none"/>
          <w:lang w:eastAsia="zh-CN"/>
        </w:rPr>
        <w:t>主体平均请求数3倍以上。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Chars="0"/>
        <w:jc w:val="both"/>
        <w:textAlignment w:val="baseline"/>
        <w:rPr>
          <w:rFonts w:ascii="黑体" w:eastAsia="黑体" w:hAnsi="黑体" w:cs="黑体" w:hint="eastAsia"/>
          <w:color w:val="auto"/>
          <w:spacing w:val="4"/>
          <w:highlight w:val="none"/>
        </w:rPr>
      </w:pPr>
      <w:r>
        <w:rPr>
          <w:rFonts w:ascii="黑体" w:eastAsia="黑体" w:hAnsi="黑体" w:cs="黑体" w:hint="eastAsia"/>
          <w:color w:val="auto"/>
          <w:spacing w:val="4"/>
          <w:highlight w:val="none"/>
        </w:rPr>
        <w:br w:type="page"/>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黑体" w:eastAsia="黑体" w:hAnsi="黑体" w:cs="黑体" w:hint="eastAsia"/>
          <w:color w:val="auto"/>
          <w:spacing w:val="4"/>
          <w:highlight w:val="none"/>
        </w:rPr>
      </w:pPr>
      <w:r>
        <w:rPr>
          <w:rFonts w:ascii="黑体" w:eastAsia="黑体" w:hAnsi="黑体" w:cs="黑体" w:hint="eastAsia"/>
          <w:color w:val="auto"/>
          <w:spacing w:val="4"/>
          <w:highlight w:val="none"/>
        </w:rPr>
        <w:t>附件</w:t>
      </w:r>
      <w:r>
        <w:rPr>
          <w:rFonts w:ascii="黑体" w:eastAsia="黑体" w:hAnsi="黑体" w:cs="黑体" w:hint="eastAsia"/>
          <w:color w:val="auto"/>
          <w:spacing w:val="4"/>
          <w:highlight w:val="none"/>
          <w:lang w:val="en-US" w:eastAsia="zh-CN"/>
        </w:rPr>
        <w:t>2</w:t>
      </w:r>
      <w:r>
        <w:rPr>
          <w:rFonts w:ascii="黑体" w:eastAsia="黑体" w:hAnsi="黑体" w:cs="黑体" w:hint="eastAsia"/>
          <w:color w:val="auto"/>
          <w:spacing w:val="4"/>
          <w:highlight w:val="none"/>
        </w:rPr>
        <w:t>：</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ascii="仿宋_GB2312" w:eastAsia="仿宋_GB2312" w:hAnsi="仿宋_GB2312" w:cs="仿宋_GB2312" w:hint="eastAsia"/>
          <w:color w:val="auto"/>
          <w:sz w:val="32"/>
          <w:szCs w:val="32"/>
          <w:highlight w:val="none"/>
        </w:rPr>
      </w:pPr>
      <w:r>
        <w:rPr>
          <w:rFonts w:ascii="黑体" w:eastAsia="黑体" w:hAnsi="黑体" w:cs="黑体" w:hint="eastAsia"/>
          <w:b w:val="0"/>
          <w:bCs w:val="0"/>
          <w:color w:val="auto"/>
          <w:spacing w:val="6"/>
          <w:sz w:val="32"/>
          <w:szCs w:val="32"/>
          <w:highlight w:val="none"/>
          <w:lang w:eastAsia="zh-CN"/>
        </w:rPr>
        <w:t>海南</w:t>
      </w:r>
      <w:r>
        <w:rPr>
          <w:rFonts w:ascii="黑体" w:eastAsia="黑体" w:hAnsi="黑体" w:cs="黑体" w:hint="eastAsia"/>
          <w:b w:val="0"/>
          <w:bCs w:val="0"/>
          <w:color w:val="auto"/>
          <w:spacing w:val="6"/>
          <w:sz w:val="32"/>
          <w:szCs w:val="32"/>
          <w:highlight w:val="none"/>
        </w:rPr>
        <w:t>电力用户市场风险告知书</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4"/>
          <w:sz w:val="32"/>
          <w:szCs w:val="32"/>
          <w:highlight w:val="none"/>
        </w:rPr>
      </w:pP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4"/>
          <w:sz w:val="32"/>
          <w:szCs w:val="32"/>
          <w:highlight w:val="none"/>
        </w:rPr>
        <w:t>尊敬的电力用户：</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5"/>
          <w:sz w:val="32"/>
          <w:szCs w:val="32"/>
          <w:highlight w:val="none"/>
          <w:lang w:eastAsia="zh-CN"/>
        </w:rPr>
        <w:t>海南</w:t>
      </w:r>
      <w:r>
        <w:rPr>
          <w:rFonts w:ascii="仿宋_GB2312" w:eastAsia="仿宋_GB2312" w:hAnsi="仿宋_GB2312" w:cs="仿宋_GB2312" w:hint="eastAsia"/>
          <w:color w:val="auto"/>
          <w:spacing w:val="5"/>
          <w:sz w:val="32"/>
          <w:szCs w:val="32"/>
          <w:highlight w:val="none"/>
          <w:lang w:val="en-US" w:eastAsia="zh-CN"/>
        </w:rPr>
        <w:t>电力现货市场已经进入连续结算试运行阶段，</w:t>
      </w:r>
      <w:r>
        <w:rPr>
          <w:rFonts w:ascii="仿宋_GB2312" w:eastAsia="仿宋_GB2312" w:hAnsi="仿宋_GB2312" w:cs="仿宋_GB2312" w:hint="eastAsia"/>
          <w:color w:val="auto"/>
          <w:spacing w:val="5"/>
          <w:sz w:val="32"/>
          <w:szCs w:val="32"/>
          <w:highlight w:val="none"/>
        </w:rPr>
        <w:t>电力与其他商品一样</w:t>
      </w:r>
      <w:r>
        <w:rPr>
          <w:rFonts w:ascii="仿宋_GB2312" w:eastAsia="仿宋_GB2312" w:hAnsi="仿宋_GB2312" w:cs="仿宋_GB2312" w:hint="eastAsia"/>
          <w:color w:val="auto"/>
          <w:spacing w:val="2"/>
          <w:sz w:val="32"/>
          <w:szCs w:val="32"/>
          <w:highlight w:val="none"/>
        </w:rPr>
        <w:t>能涨能跌，市场有风险、选择需谨慎。为维护贵司的合法权</w:t>
      </w:r>
      <w:r>
        <w:rPr>
          <w:rFonts w:ascii="仿宋_GB2312" w:eastAsia="仿宋_GB2312" w:hAnsi="仿宋_GB2312" w:cs="仿宋_GB2312" w:hint="eastAsia"/>
          <w:color w:val="auto"/>
          <w:spacing w:val="4"/>
          <w:sz w:val="32"/>
          <w:szCs w:val="32"/>
          <w:highlight w:val="none"/>
        </w:rPr>
        <w:t>益，悉知电力交易中存在的风险，请在签订电力市场相关合同前，仔细阅读风险告知书内容。</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楷体" w:eastAsia="楷体" w:hAnsi="楷体" w:cs="楷体" w:hint="eastAsia"/>
          <w:color w:val="auto"/>
          <w:spacing w:val="-1"/>
          <w:sz w:val="32"/>
          <w:szCs w:val="32"/>
          <w:highlight w:val="none"/>
        </w:rPr>
        <w:t>一、市场风险揭示</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6"/>
          <w:sz w:val="32"/>
          <w:szCs w:val="32"/>
          <w:highlight w:val="none"/>
        </w:rPr>
        <w:t>电力用户市场风险主要包括价格风险、履约风险及政策</w:t>
      </w:r>
      <w:r>
        <w:rPr>
          <w:rFonts w:ascii="仿宋_GB2312" w:eastAsia="仿宋_GB2312" w:hAnsi="仿宋_GB2312" w:cs="仿宋_GB2312" w:hint="eastAsia"/>
          <w:color w:val="auto"/>
          <w:spacing w:val="4"/>
          <w:sz w:val="32"/>
          <w:szCs w:val="32"/>
          <w:highlight w:val="none"/>
        </w:rPr>
        <w:t>风险等，市场价格主要受一次能源价格、电力</w:t>
      </w:r>
      <w:r>
        <w:rPr>
          <w:rFonts w:ascii="仿宋_GB2312" w:eastAsia="仿宋_GB2312" w:hAnsi="仿宋_GB2312" w:cs="仿宋_GB2312" w:hint="eastAsia"/>
          <w:color w:val="auto"/>
          <w:spacing w:val="3"/>
          <w:sz w:val="32"/>
          <w:szCs w:val="32"/>
          <w:highlight w:val="none"/>
        </w:rPr>
        <w:t>供需及规则变</w:t>
      </w:r>
      <w:r>
        <w:rPr>
          <w:rFonts w:ascii="仿宋_GB2312" w:eastAsia="仿宋_GB2312" w:hAnsi="仿宋_GB2312" w:cs="仿宋_GB2312" w:hint="eastAsia"/>
          <w:color w:val="auto"/>
          <w:spacing w:val="1"/>
          <w:sz w:val="32"/>
          <w:szCs w:val="32"/>
          <w:highlight w:val="none"/>
        </w:rPr>
        <w:t>化等影响，电力用户电能量价格水平与签订的合同条款、自</w:t>
      </w:r>
      <w:r>
        <w:rPr>
          <w:rFonts w:ascii="仿宋_GB2312" w:eastAsia="仿宋_GB2312" w:hAnsi="仿宋_GB2312" w:cs="仿宋_GB2312" w:hint="eastAsia"/>
          <w:color w:val="auto"/>
          <w:spacing w:val="5"/>
          <w:sz w:val="32"/>
          <w:szCs w:val="32"/>
          <w:highlight w:val="none"/>
        </w:rPr>
        <w:t>身用电特性、市场价格波动等因素密切相关，请贵司结合市</w:t>
      </w:r>
      <w:r>
        <w:rPr>
          <w:rFonts w:ascii="仿宋_GB2312" w:eastAsia="仿宋_GB2312" w:hAnsi="仿宋_GB2312" w:cs="仿宋_GB2312" w:hint="eastAsia"/>
          <w:color w:val="auto"/>
          <w:spacing w:val="3"/>
          <w:sz w:val="32"/>
          <w:szCs w:val="32"/>
          <w:highlight w:val="none"/>
        </w:rPr>
        <w:t>场价格走势、自身用电特性以及风险承受能力等情况，</w:t>
      </w:r>
      <w:r>
        <w:rPr>
          <w:rFonts w:ascii="仿宋_GB2312" w:eastAsia="仿宋_GB2312" w:hAnsi="仿宋_GB2312" w:cs="仿宋_GB2312" w:hint="eastAsia"/>
          <w:b/>
          <w:bCs/>
          <w:color w:val="auto"/>
          <w:spacing w:val="3"/>
          <w:sz w:val="32"/>
          <w:szCs w:val="32"/>
          <w:highlight w:val="none"/>
          <w:u w:val="single" w:color="auto"/>
        </w:rPr>
        <w:t>认真</w:t>
      </w:r>
      <w:r>
        <w:rPr>
          <w:rFonts w:ascii="仿宋_GB2312" w:eastAsia="仿宋_GB2312" w:hAnsi="仿宋_GB2312" w:cs="仿宋_GB2312" w:hint="eastAsia"/>
          <w:b/>
          <w:bCs/>
          <w:color w:val="auto"/>
          <w:spacing w:val="4"/>
          <w:sz w:val="32"/>
          <w:szCs w:val="32"/>
          <w:highlight w:val="none"/>
          <w:u w:val="single" w:color="auto"/>
        </w:rPr>
        <w:t>阅读和理解合同条款含义</w:t>
      </w:r>
      <w:r>
        <w:rPr>
          <w:rFonts w:ascii="仿宋_GB2312" w:eastAsia="仿宋_GB2312" w:hAnsi="仿宋_GB2312" w:cs="仿宋_GB2312" w:hint="eastAsia"/>
          <w:color w:val="auto"/>
          <w:spacing w:val="4"/>
          <w:sz w:val="32"/>
          <w:szCs w:val="32"/>
          <w:highlight w:val="none"/>
        </w:rPr>
        <w:t>，谨慎选择适合自身的结算模式。</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楷体" w:eastAsia="楷体" w:hAnsi="楷体" w:cs="楷体" w:hint="eastAsia"/>
          <w:color w:val="auto"/>
          <w:spacing w:val="-1"/>
          <w:sz w:val="32"/>
          <w:szCs w:val="32"/>
          <w:highlight w:val="none"/>
        </w:rPr>
      </w:pPr>
      <w:r>
        <w:rPr>
          <w:rFonts w:ascii="楷体" w:eastAsia="楷体" w:hAnsi="楷体" w:cs="楷体" w:hint="eastAsia"/>
          <w:color w:val="auto"/>
          <w:spacing w:val="-1"/>
          <w:sz w:val="32"/>
          <w:szCs w:val="32"/>
          <w:highlight w:val="none"/>
        </w:rPr>
        <w:t>二、</w:t>
      </w:r>
      <w:r>
        <w:rPr>
          <w:rFonts w:ascii="楷体" w:eastAsia="楷体" w:hAnsi="楷体" w:cs="楷体" w:hint="eastAsia"/>
          <w:color w:val="auto"/>
          <w:spacing w:val="-1"/>
          <w:sz w:val="32"/>
          <w:szCs w:val="32"/>
          <w:highlight w:val="none"/>
          <w:lang w:val="en-US" w:eastAsia="zh-CN"/>
        </w:rPr>
        <w:t>零售合同</w:t>
      </w:r>
      <w:r>
        <w:rPr>
          <w:rFonts w:ascii="楷体" w:eastAsia="楷体" w:hAnsi="楷体" w:cs="楷体" w:hint="eastAsia"/>
          <w:color w:val="auto"/>
          <w:spacing w:val="-1"/>
          <w:sz w:val="32"/>
          <w:szCs w:val="32"/>
          <w:highlight w:val="none"/>
        </w:rPr>
        <w:t>签订说明</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pacing w:val="7"/>
          <w:sz w:val="32"/>
          <w:szCs w:val="32"/>
          <w:highlight w:val="none"/>
        </w:rPr>
        <w:t>按照市场规则要求，</w:t>
      </w:r>
      <w:r>
        <w:rPr>
          <w:rFonts w:ascii="仿宋_GB2312" w:eastAsia="仿宋_GB2312" w:hAnsi="仿宋_GB2312" w:cs="仿宋_GB2312" w:hint="eastAsia"/>
          <w:b w:val="0"/>
          <w:bCs w:val="0"/>
          <w:color w:val="auto"/>
          <w:spacing w:val="7"/>
          <w:sz w:val="32"/>
          <w:szCs w:val="32"/>
          <w:highlight w:val="none"/>
          <w:lang w:eastAsia="zh-CN"/>
        </w:rPr>
        <w:t>海南</w:t>
      </w:r>
      <w:r>
        <w:rPr>
          <w:rFonts w:ascii="仿宋_GB2312" w:eastAsia="仿宋_GB2312" w:hAnsi="仿宋_GB2312" w:cs="仿宋_GB2312" w:hint="eastAsia"/>
          <w:b w:val="0"/>
          <w:bCs w:val="0"/>
          <w:color w:val="auto"/>
          <w:spacing w:val="7"/>
          <w:sz w:val="32"/>
          <w:szCs w:val="32"/>
          <w:highlight w:val="none"/>
        </w:rPr>
        <w:t>电力交易中心</w:t>
      </w:r>
      <w:r>
        <w:rPr>
          <w:rFonts w:ascii="仿宋_GB2312" w:eastAsia="仿宋_GB2312" w:hAnsi="仿宋_GB2312" w:cs="仿宋_GB2312" w:hint="eastAsia"/>
          <w:b/>
          <w:bCs/>
          <w:color w:val="auto"/>
          <w:spacing w:val="7"/>
          <w:sz w:val="32"/>
          <w:szCs w:val="32"/>
          <w:highlight w:val="none"/>
          <w:lang w:val="en-US" w:eastAsia="zh-CN"/>
        </w:rPr>
        <w:t>按照交易双方</w:t>
      </w:r>
      <w:r>
        <w:rPr>
          <w:rFonts w:ascii="仿宋_GB2312" w:eastAsia="仿宋_GB2312" w:hAnsi="仿宋_GB2312" w:cs="仿宋_GB2312" w:hint="eastAsia"/>
          <w:b/>
          <w:bCs/>
          <w:color w:val="auto"/>
          <w:spacing w:val="7"/>
          <w:sz w:val="32"/>
          <w:szCs w:val="32"/>
          <w:highlight w:val="none"/>
        </w:rPr>
        <w:t>在电</w:t>
      </w:r>
      <w:r>
        <w:rPr>
          <w:rFonts w:ascii="仿宋_GB2312" w:eastAsia="仿宋_GB2312" w:hAnsi="仿宋_GB2312" w:cs="仿宋_GB2312" w:hint="eastAsia"/>
          <w:b/>
          <w:bCs/>
          <w:color w:val="auto"/>
          <w:spacing w:val="6"/>
          <w:sz w:val="32"/>
          <w:szCs w:val="32"/>
          <w:highlight w:val="none"/>
        </w:rPr>
        <w:t>力交</w:t>
      </w:r>
      <w:r>
        <w:rPr>
          <w:rFonts w:ascii="仿宋_GB2312" w:eastAsia="仿宋_GB2312" w:hAnsi="仿宋_GB2312" w:cs="仿宋_GB2312" w:hint="eastAsia"/>
          <w:b/>
          <w:bCs/>
          <w:color w:val="auto"/>
          <w:spacing w:val="7"/>
          <w:sz w:val="32"/>
          <w:szCs w:val="32"/>
          <w:highlight w:val="none"/>
        </w:rPr>
        <w:t>易系统线上签订的</w:t>
      </w:r>
      <w:r>
        <w:rPr>
          <w:rFonts w:ascii="仿宋_GB2312" w:eastAsia="仿宋_GB2312" w:hAnsi="仿宋_GB2312" w:cs="仿宋_GB2312" w:hint="eastAsia"/>
          <w:b/>
          <w:bCs/>
          <w:color w:val="auto"/>
          <w:spacing w:val="7"/>
          <w:sz w:val="32"/>
          <w:szCs w:val="32"/>
          <w:highlight w:val="none"/>
          <w:lang w:val="en-US" w:eastAsia="zh-CN"/>
        </w:rPr>
        <w:t>零售</w:t>
      </w:r>
      <w:r>
        <w:rPr>
          <w:rFonts w:ascii="仿宋_GB2312" w:eastAsia="仿宋_GB2312" w:hAnsi="仿宋_GB2312" w:cs="仿宋_GB2312" w:hint="eastAsia"/>
          <w:b/>
          <w:bCs/>
          <w:color w:val="auto"/>
          <w:spacing w:val="7"/>
          <w:sz w:val="32"/>
          <w:szCs w:val="32"/>
          <w:highlight w:val="none"/>
          <w:lang w:eastAsia="zh-CN"/>
        </w:rPr>
        <w:t>合同</w:t>
      </w:r>
      <w:r>
        <w:rPr>
          <w:rFonts w:ascii="仿宋_GB2312" w:eastAsia="仿宋_GB2312" w:hAnsi="仿宋_GB2312" w:cs="仿宋_GB2312" w:hint="eastAsia"/>
          <w:b/>
          <w:bCs/>
          <w:color w:val="auto"/>
          <w:spacing w:val="7"/>
          <w:sz w:val="32"/>
          <w:szCs w:val="32"/>
          <w:highlight w:val="none"/>
          <w:lang w:val="en-US" w:eastAsia="zh-CN"/>
        </w:rPr>
        <w:t>执行</w:t>
      </w:r>
      <w:r>
        <w:rPr>
          <w:rFonts w:ascii="仿宋_GB2312" w:eastAsia="仿宋_GB2312" w:hAnsi="仿宋_GB2312" w:cs="仿宋_GB2312" w:hint="eastAsia"/>
          <w:b/>
          <w:bCs/>
          <w:color w:val="auto"/>
          <w:spacing w:val="7"/>
          <w:sz w:val="32"/>
          <w:szCs w:val="32"/>
          <w:highlight w:val="none"/>
        </w:rPr>
        <w:t>。</w:t>
      </w:r>
      <w:r>
        <w:rPr>
          <w:rFonts w:ascii="仿宋_GB2312" w:eastAsia="仿宋_GB2312" w:hAnsi="仿宋_GB2312" w:cs="仿宋_GB2312" w:hint="eastAsia"/>
          <w:color w:val="auto"/>
          <w:spacing w:val="7"/>
          <w:sz w:val="32"/>
          <w:szCs w:val="32"/>
          <w:highlight w:val="none"/>
        </w:rPr>
        <w:t>请市场主体</w:t>
      </w:r>
      <w:r>
        <w:rPr>
          <w:rFonts w:ascii="仿宋_GB2312" w:eastAsia="仿宋_GB2312" w:hAnsi="仿宋_GB2312" w:cs="仿宋_GB2312" w:hint="eastAsia"/>
          <w:color w:val="auto"/>
          <w:spacing w:val="8"/>
          <w:sz w:val="32"/>
          <w:szCs w:val="32"/>
          <w:highlight w:val="none"/>
        </w:rPr>
        <w:t>务必</w:t>
      </w:r>
      <w:r>
        <w:rPr>
          <w:rFonts w:ascii="仿宋_GB2312" w:eastAsia="仿宋_GB2312" w:hAnsi="仿宋_GB2312" w:cs="仿宋_GB2312" w:hint="eastAsia"/>
          <w:color w:val="auto"/>
          <w:spacing w:val="7"/>
          <w:sz w:val="32"/>
          <w:szCs w:val="32"/>
          <w:highlight w:val="none"/>
          <w:lang w:eastAsia="zh-CN"/>
        </w:rPr>
        <w:t>妥善保管交易平台账户名称、密码、手机验证码、ukey等</w:t>
      </w:r>
      <w:r>
        <w:rPr>
          <w:rFonts w:ascii="仿宋_GB2312" w:eastAsia="仿宋_GB2312" w:hAnsi="仿宋_GB2312" w:cs="仿宋_GB2312" w:hint="eastAsia"/>
          <w:color w:val="auto"/>
          <w:spacing w:val="7"/>
          <w:sz w:val="32"/>
          <w:szCs w:val="32"/>
          <w:highlight w:val="none"/>
        </w:rPr>
        <w:t>，不向他人泄露，</w:t>
      </w:r>
      <w:r>
        <w:rPr>
          <w:rFonts w:ascii="仿宋_GB2312" w:eastAsia="仿宋_GB2312" w:hAnsi="仿宋_GB2312" w:cs="仿宋_GB2312" w:hint="eastAsia"/>
          <w:b/>
          <w:bCs/>
          <w:color w:val="auto"/>
          <w:spacing w:val="7"/>
          <w:sz w:val="32"/>
          <w:szCs w:val="32"/>
          <w:highlight w:val="none"/>
          <w:lang w:val="en-US" w:eastAsia="zh-CN"/>
        </w:rPr>
        <w:t>确保</w:t>
      </w:r>
      <w:r>
        <w:rPr>
          <w:rFonts w:ascii="仿宋_GB2312" w:eastAsia="仿宋_GB2312" w:hAnsi="仿宋_GB2312" w:cs="仿宋_GB2312" w:hint="eastAsia"/>
          <w:b/>
          <w:bCs/>
          <w:color w:val="auto"/>
          <w:spacing w:val="7"/>
          <w:sz w:val="32"/>
          <w:szCs w:val="32"/>
          <w:highlight w:val="none"/>
        </w:rPr>
        <w:t>按企业真实意愿在交易平台进行操作</w:t>
      </w:r>
      <w:r>
        <w:rPr>
          <w:rFonts w:ascii="仿宋_GB2312" w:eastAsia="仿宋_GB2312" w:hAnsi="仿宋_GB2312" w:cs="仿宋_GB2312" w:hint="eastAsia"/>
          <w:b/>
          <w:bCs/>
          <w:color w:val="auto"/>
          <w:spacing w:val="7"/>
          <w:sz w:val="32"/>
          <w:szCs w:val="32"/>
          <w:highlight w:val="none"/>
          <w:lang w:eastAsia="zh-CN"/>
        </w:rPr>
        <w:t>。</w:t>
      </w:r>
      <w:r>
        <w:rPr>
          <w:rFonts w:ascii="仿宋_GB2312" w:eastAsia="仿宋_GB2312" w:hAnsi="仿宋_GB2312" w:cs="仿宋_GB2312" w:hint="eastAsia"/>
          <w:b/>
          <w:bCs/>
          <w:color w:val="auto"/>
          <w:spacing w:val="7"/>
          <w:sz w:val="32"/>
          <w:szCs w:val="32"/>
          <w:highlight w:val="none"/>
          <w:lang w:val="en-US" w:eastAsia="zh-CN"/>
        </w:rPr>
        <w:t>交易平台上的</w:t>
      </w:r>
      <w:r>
        <w:rPr>
          <w:rFonts w:ascii="仿宋_GB2312" w:eastAsia="仿宋_GB2312" w:hAnsi="仿宋_GB2312" w:cs="仿宋_GB2312" w:hint="eastAsia"/>
          <w:b/>
          <w:bCs/>
          <w:color w:val="auto"/>
          <w:spacing w:val="7"/>
          <w:sz w:val="32"/>
          <w:szCs w:val="32"/>
          <w:highlight w:val="none"/>
          <w:u w:val="single" w:color="auto"/>
        </w:rPr>
        <w:t>相关</w:t>
      </w:r>
      <w:r>
        <w:rPr>
          <w:rFonts w:ascii="仿宋_GB2312" w:eastAsia="仿宋_GB2312" w:hAnsi="仿宋_GB2312" w:cs="仿宋_GB2312" w:hint="eastAsia"/>
          <w:b/>
          <w:bCs/>
          <w:color w:val="auto"/>
          <w:spacing w:val="7"/>
          <w:sz w:val="32"/>
          <w:szCs w:val="32"/>
          <w:highlight w:val="none"/>
          <w:u w:val="single" w:color="auto"/>
          <w:lang w:val="en-US" w:eastAsia="zh-CN"/>
        </w:rPr>
        <w:t>操作</w:t>
      </w:r>
      <w:r>
        <w:rPr>
          <w:rFonts w:ascii="仿宋_GB2312" w:eastAsia="仿宋_GB2312" w:hAnsi="仿宋_GB2312" w:cs="仿宋_GB2312" w:hint="eastAsia"/>
          <w:b/>
          <w:bCs/>
          <w:color w:val="auto"/>
          <w:spacing w:val="6"/>
          <w:sz w:val="32"/>
          <w:szCs w:val="32"/>
          <w:highlight w:val="none"/>
          <w:u w:val="single" w:color="auto"/>
        </w:rPr>
        <w:t>将对贵司具</w:t>
      </w:r>
      <w:r>
        <w:rPr>
          <w:rFonts w:ascii="仿宋_GB2312" w:eastAsia="仿宋_GB2312" w:hAnsi="仿宋_GB2312" w:cs="仿宋_GB2312" w:hint="eastAsia"/>
          <w:b/>
          <w:bCs/>
          <w:color w:val="auto"/>
          <w:spacing w:val="5"/>
          <w:sz w:val="32"/>
          <w:szCs w:val="32"/>
          <w:highlight w:val="none"/>
          <w:u w:val="single" w:color="auto"/>
        </w:rPr>
        <w:t>有法律</w:t>
      </w:r>
      <w:r>
        <w:rPr>
          <w:rFonts w:ascii="仿宋_GB2312" w:eastAsia="仿宋_GB2312" w:hAnsi="仿宋_GB2312" w:cs="仿宋_GB2312" w:hint="eastAsia"/>
          <w:b/>
          <w:bCs/>
          <w:color w:val="auto"/>
          <w:spacing w:val="-3"/>
          <w:sz w:val="32"/>
          <w:szCs w:val="32"/>
          <w:highlight w:val="none"/>
          <w:u w:val="single" w:color="auto"/>
        </w:rPr>
        <w:t>约束力。</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楷体" w:eastAsia="楷体" w:hAnsi="楷体" w:cs="楷体" w:hint="eastAsia"/>
          <w:color w:val="auto"/>
          <w:spacing w:val="-1"/>
          <w:sz w:val="32"/>
          <w:szCs w:val="32"/>
          <w:highlight w:val="none"/>
        </w:rPr>
      </w:pPr>
      <w:r>
        <w:rPr>
          <w:rFonts w:ascii="楷体" w:eastAsia="楷体" w:hAnsi="楷体" w:cs="楷体" w:hint="eastAsia"/>
          <w:color w:val="auto"/>
          <w:spacing w:val="-1"/>
          <w:sz w:val="32"/>
          <w:szCs w:val="32"/>
          <w:highlight w:val="none"/>
        </w:rPr>
        <w:t>三、其他</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贵司在本《风险告知书》盖章，即表示贵司对本告知书全部内容已认真阅读，已完全理解所有含义并全部接受，本告知书签订与否不影响正常开展市场交易。</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本告知书上述风险告知事项仅为列举性质，未能详尽所有风险因素，请您认真对其他可能的风险作全面的了解和掌握。如有疑问可通过拨打我公司</w:t>
      </w:r>
      <w:r>
        <w:rPr>
          <w:rFonts w:ascii="仿宋_GB2312" w:eastAsia="仿宋_GB2312" w:hAnsi="仿宋_GB2312" w:cs="仿宋_GB2312" w:hint="default"/>
          <w:color w:val="auto"/>
          <w:spacing w:val="7"/>
          <w:sz w:val="32"/>
          <w:szCs w:val="32"/>
          <w:highlight w:val="none"/>
          <w:u w:val="single"/>
          <w:lang w:val="en-US"/>
        </w:rPr>
        <w:t>XXX</w:t>
      </w:r>
      <w:r>
        <w:rPr>
          <w:rFonts w:ascii="仿宋_GB2312" w:eastAsia="仿宋_GB2312" w:hAnsi="仿宋_GB2312" w:cs="仿宋_GB2312" w:hint="eastAsia"/>
          <w:color w:val="auto"/>
          <w:spacing w:val="7"/>
          <w:sz w:val="32"/>
          <w:szCs w:val="32"/>
          <w:highlight w:val="none"/>
        </w:rPr>
        <w:t>电话咨询，认为有误导、虚假宣传等行为的，可通过交易中心咨询电话（4001595598）反馈。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2240" w:firstLineChars="7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 xml:space="preserve">              单位公章：</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0" w:firstLineChars="18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XX年XX月XX日</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电力用户确认：本公司已经仔细阅读上述《风险告知书》和《XXX合同》，XXX公司已向本公司说明了电力市场可能涉及的主要风险和合同条款中的含义。我公司已知悉海南电力交易中心</w:t>
      </w:r>
      <w:r>
        <w:rPr>
          <w:rFonts w:ascii="仿宋_GB2312" w:eastAsia="仿宋_GB2312" w:hAnsi="仿宋_GB2312" w:cs="仿宋_GB2312" w:hint="eastAsia"/>
          <w:b/>
          <w:bCs/>
          <w:color w:val="auto"/>
          <w:spacing w:val="7"/>
          <w:sz w:val="32"/>
          <w:szCs w:val="32"/>
          <w:highlight w:val="none"/>
          <w:lang w:val="en-US" w:eastAsia="zh-CN"/>
        </w:rPr>
        <w:t>按照交易双方</w:t>
      </w:r>
      <w:r>
        <w:rPr>
          <w:rFonts w:ascii="仿宋_GB2312" w:eastAsia="仿宋_GB2312" w:hAnsi="仿宋_GB2312" w:cs="仿宋_GB2312" w:hint="eastAsia"/>
          <w:b/>
          <w:bCs/>
          <w:color w:val="auto"/>
          <w:spacing w:val="7"/>
          <w:sz w:val="32"/>
          <w:szCs w:val="32"/>
          <w:highlight w:val="none"/>
        </w:rPr>
        <w:t>在电</w:t>
      </w:r>
      <w:r>
        <w:rPr>
          <w:rFonts w:ascii="仿宋_GB2312" w:eastAsia="仿宋_GB2312" w:hAnsi="仿宋_GB2312" w:cs="仿宋_GB2312" w:hint="eastAsia"/>
          <w:b/>
          <w:bCs/>
          <w:color w:val="auto"/>
          <w:spacing w:val="6"/>
          <w:sz w:val="32"/>
          <w:szCs w:val="32"/>
          <w:highlight w:val="none"/>
        </w:rPr>
        <w:t>力交</w:t>
      </w:r>
      <w:r>
        <w:rPr>
          <w:rFonts w:ascii="仿宋_GB2312" w:eastAsia="仿宋_GB2312" w:hAnsi="仿宋_GB2312" w:cs="仿宋_GB2312" w:hint="eastAsia"/>
          <w:b/>
          <w:bCs/>
          <w:color w:val="auto"/>
          <w:spacing w:val="7"/>
          <w:sz w:val="32"/>
          <w:szCs w:val="32"/>
          <w:highlight w:val="none"/>
        </w:rPr>
        <w:t>易系统线上签订的</w:t>
      </w:r>
      <w:r>
        <w:rPr>
          <w:rFonts w:ascii="仿宋_GB2312" w:eastAsia="仿宋_GB2312" w:hAnsi="仿宋_GB2312" w:cs="仿宋_GB2312" w:hint="eastAsia"/>
          <w:b/>
          <w:bCs/>
          <w:color w:val="auto"/>
          <w:spacing w:val="7"/>
          <w:sz w:val="32"/>
          <w:szCs w:val="32"/>
          <w:highlight w:val="none"/>
          <w:lang w:val="en-US" w:eastAsia="zh-CN"/>
        </w:rPr>
        <w:t>零售套餐执行</w:t>
      </w:r>
      <w:r>
        <w:rPr>
          <w:rFonts w:ascii="仿宋_GB2312" w:eastAsia="仿宋_GB2312" w:hAnsi="仿宋_GB2312" w:cs="仿宋_GB2312" w:hint="eastAsia"/>
          <w:color w:val="auto"/>
          <w:spacing w:val="7"/>
          <w:sz w:val="32"/>
          <w:szCs w:val="32"/>
          <w:highlight w:val="none"/>
        </w:rPr>
        <w:t>。本公司已加强电子印章的使用管理</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pacing w:val="7"/>
          <w:sz w:val="32"/>
          <w:szCs w:val="32"/>
          <w:highlight w:val="none"/>
          <w:lang w:val="en-US" w:eastAsia="zh-CN"/>
        </w:rPr>
        <w:t>如有</w:t>
      </w:r>
      <w:r>
        <w:rPr>
          <w:rFonts w:ascii="仿宋_GB2312" w:eastAsia="仿宋_GB2312" w:hAnsi="仿宋_GB2312" w:cs="仿宋_GB2312" w:hint="eastAsia"/>
          <w:color w:val="auto"/>
          <w:spacing w:val="7"/>
          <w:sz w:val="32"/>
          <w:szCs w:val="32"/>
          <w:highlight w:val="none"/>
          <w:lang w:eastAsia="zh-CN"/>
        </w:rPr>
        <w:t>）</w:t>
      </w:r>
      <w:r>
        <w:rPr>
          <w:rFonts w:ascii="仿宋_GB2312" w:eastAsia="仿宋_GB2312" w:hAnsi="仿宋_GB2312" w:cs="仿宋_GB2312" w:hint="eastAsia"/>
          <w:color w:val="auto"/>
          <w:spacing w:val="7"/>
          <w:sz w:val="32"/>
          <w:szCs w:val="32"/>
          <w:highlight w:val="none"/>
        </w:rPr>
        <w:t>，与XXX公司合作和签署电力市场有关合同是经过独立判断之后所做出的符合本公司真实意愿的决定。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 xml:space="preserve">            </w:t>
      </w:r>
      <w:r>
        <w:rPr>
          <w:rFonts w:ascii="仿宋_GB2312" w:eastAsia="仿宋_GB2312" w:hAnsi="仿宋_GB2312" w:cs="仿宋_GB2312" w:hint="eastAsia"/>
          <w:color w:val="auto"/>
          <w:spacing w:val="7"/>
          <w:sz w:val="32"/>
          <w:szCs w:val="32"/>
          <w:highlight w:val="none"/>
          <w:lang w:val="en-US" w:eastAsia="zh-CN"/>
        </w:rPr>
        <w:t xml:space="preserve">         </w:t>
      </w:r>
      <w:r>
        <w:rPr>
          <w:rFonts w:ascii="仿宋_GB2312" w:eastAsia="仿宋_GB2312" w:hAnsi="仿宋_GB2312" w:cs="仿宋_GB2312" w:hint="eastAsia"/>
          <w:color w:val="auto"/>
          <w:spacing w:val="7"/>
          <w:sz w:val="32"/>
          <w:szCs w:val="32"/>
          <w:highlight w:val="none"/>
        </w:rPr>
        <w:t xml:space="preserve">   单位公章：</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0" w:firstLineChars="1800"/>
        <w:jc w:val="both"/>
        <w:textAlignment w:val="baseline"/>
        <w:rPr>
          <w:rFonts w:ascii="仿宋_GB2312" w:eastAsia="仿宋_GB2312" w:hAnsi="仿宋_GB2312" w:cs="仿宋_GB2312" w:hint="eastAsia"/>
          <w:color w:val="auto"/>
          <w:spacing w:val="7"/>
          <w:sz w:val="32"/>
          <w:szCs w:val="32"/>
          <w:highlight w:val="none"/>
        </w:rPr>
      </w:pPr>
      <w:r>
        <w:rPr>
          <w:rFonts w:ascii="仿宋_GB2312" w:eastAsia="仿宋_GB2312" w:hAnsi="仿宋_GB2312" w:cs="仿宋_GB2312" w:hint="eastAsia"/>
          <w:color w:val="auto"/>
          <w:spacing w:val="7"/>
          <w:sz w:val="32"/>
          <w:szCs w:val="32"/>
          <w:highlight w:val="none"/>
        </w:rPr>
        <w:t>XX年XX日XX</w:t>
      </w:r>
    </w:p>
    <w:p>
      <w:pPr>
        <w:pStyle w:val="TOC2"/>
        <w:ind w:left="0" w:firstLine="0" w:leftChars="0" w:firstLineChars="0"/>
        <w:rPr>
          <w:rFonts w:hint="eastAsia"/>
        </w:rPr>
      </w:pPr>
    </w:p>
    <w:p>
      <w:pPr>
        <w:pStyle w:val="TOC2"/>
        <w:spacing w:line="560" w:lineRule="atLeast"/>
        <w:ind w:left="0" w:firstLine="0" w:leftChars="0" w:firstLineChars="0"/>
        <w:rPr>
          <w:rFonts w:ascii="黑体" w:eastAsia="黑体" w:hAnsi="黑体" w:cs="黑体" w:hint="eastAsia"/>
          <w:sz w:val="32"/>
          <w:szCs w:val="32"/>
        </w:rPr>
      </w:pPr>
    </w:p>
    <w:p>
      <w:pPr>
        <w:pStyle w:val="TOC2"/>
        <w:spacing w:line="560" w:lineRule="atLeast"/>
        <w:ind w:left="0" w:firstLine="0" w:leftChars="0" w:firstLineChars="0"/>
        <w:rPr>
          <w:rFonts w:ascii="黑体" w:eastAsia="黑体" w:hAnsi="黑体" w:cs="黑体" w:hint="eastAsia"/>
          <w:sz w:val="32"/>
          <w:szCs w:val="32"/>
        </w:rPr>
      </w:pPr>
      <w:r>
        <w:rPr>
          <w:rFonts w:ascii="黑体" w:eastAsia="黑体" w:hAnsi="黑体" w:cs="黑体" w:hint="eastAsia"/>
          <w:sz w:val="32"/>
          <w:szCs w:val="32"/>
        </w:rPr>
        <w:t>附件3：电力用户市场风险告知视频示例</w:t>
      </w:r>
    </w:p>
    <w:p>
      <w:pPr>
        <w:pStyle w:val="TOC2"/>
        <w:spacing w:line="560" w:lineRule="atLeast"/>
        <w:ind w:left="0" w:firstLine="0" w:leftChars="0" w:firstLineChars="0"/>
        <w:rPr>
          <w:rFonts w:hint="eastAsia"/>
          <w:sz w:val="32"/>
          <w:szCs w:val="32"/>
        </w:rPr>
      </w:pPr>
      <w:r>
        <w:rPr>
          <w:rFonts w:hint="eastAsia"/>
          <w:sz w:val="32"/>
          <w:szCs w:val="32"/>
        </w:rPr>
        <w:t>（请电力用户法定代表人正面对着镜头阅读以下文字）</w:t>
      </w:r>
    </w:p>
    <w:p>
      <w:pPr>
        <w:pStyle w:val="TOC2"/>
        <w:spacing w:line="560" w:lineRule="exact"/>
        <w:ind w:left="0" w:firstLine="0" w:leftChars="0" w:firstLineChars="0"/>
        <w:rPr>
          <w:rFonts w:ascii="仿宋_GB2312" w:hAnsi="仿宋_GB2312" w:cs="仿宋_GB2312" w:hint="eastAsia"/>
          <w:color w:val="auto"/>
          <w:spacing w:val="7"/>
          <w:sz w:val="32"/>
          <w:szCs w:val="32"/>
          <w:highlight w:val="none"/>
        </w:rPr>
      </w:pPr>
    </w:p>
    <w:p>
      <w:pPr>
        <w:pStyle w:val="TOC2"/>
        <w:spacing w:line="560" w:lineRule="exact"/>
        <w:ind w:left="0" w:firstLine="0" w:leftChars="0" w:firstLineChars="0"/>
        <w:rPr>
          <w:rFonts w:ascii="仿宋_GB2312" w:hAnsi="仿宋_GB2312" w:cs="仿宋_GB2312" w:hint="eastAsia"/>
          <w:sz w:val="32"/>
          <w:szCs w:val="32"/>
        </w:rPr>
      </w:pPr>
      <w:r>
        <w:rPr>
          <w:rFonts w:ascii="仿宋_GB2312" w:hAnsi="仿宋_GB2312" w:cs="仿宋_GB2312" w:hint="eastAsia"/>
          <w:color w:val="auto"/>
          <w:spacing w:val="7"/>
          <w:sz w:val="32"/>
          <w:szCs w:val="32"/>
          <w:highlight w:val="none"/>
        </w:rPr>
        <w:t>XXX</w:t>
      </w:r>
      <w:r>
        <w:rPr>
          <w:rFonts w:ascii="仿宋_GB2312" w:hAnsi="仿宋_GB2312" w:cs="仿宋_GB2312" w:hint="eastAsia"/>
          <w:sz w:val="32"/>
          <w:szCs w:val="32"/>
        </w:rPr>
        <w:t>公司（售电公司）：</w:t>
      </w:r>
    </w:p>
    <w:p>
      <w:pPr>
        <w:pStyle w:val="TOC2"/>
        <w:spacing w:line="560" w:lineRule="exact"/>
        <w:ind w:left="0" w:firstLine="560" w:leftChars="0"/>
        <w:rPr>
          <w:rFonts w:ascii="仿宋_GB2312" w:hAnsi="仿宋_GB2312" w:cs="仿宋_GB2312" w:hint="eastAsia"/>
          <w:sz w:val="32"/>
          <w:szCs w:val="32"/>
        </w:rPr>
      </w:pPr>
      <w:r>
        <w:rPr>
          <w:rFonts w:ascii="仿宋_GB2312" w:hAnsi="仿宋_GB2312" w:cs="仿宋_GB2312" w:hint="eastAsia"/>
          <w:sz w:val="32"/>
          <w:szCs w:val="32"/>
        </w:rPr>
        <w:t>我是XXX公司法定代表人XXX。</w:t>
      </w:r>
    </w:p>
    <w:p>
      <w:pPr>
        <w:pStyle w:val="TOC2"/>
        <w:spacing w:line="560" w:lineRule="exact"/>
        <w:ind w:left="0" w:firstLine="560" w:leftChars="0"/>
        <w:rPr>
          <w:rFonts w:ascii="仿宋_GB2312" w:hAnsi="仿宋_GB2312" w:cs="仿宋_GB2312" w:hint="eastAsia"/>
          <w:sz w:val="32"/>
          <w:szCs w:val="32"/>
        </w:rPr>
      </w:pPr>
      <w:r>
        <w:rPr>
          <w:rFonts w:ascii="仿宋_GB2312" w:hAnsi="仿宋_GB2312" w:cs="仿宋_GB2312" w:hint="eastAsia"/>
          <w:sz w:val="32"/>
          <w:szCs w:val="32"/>
        </w:rPr>
        <w:t>本人已经仔细阅读《海南电力用户市场风险告知书》和《XXX合同》，XXX公司已向本公司说明了电力市场可能涉及的主要风险和合同条款中的含义。</w:t>
      </w:r>
    </w:p>
    <w:p>
      <w:pPr>
        <w:pStyle w:val="TOC2"/>
        <w:spacing w:line="560" w:lineRule="exact"/>
        <w:ind w:left="0" w:firstLine="560" w:leftChars="0"/>
        <w:rPr>
          <w:rFonts w:ascii="仿宋_GB2312" w:hAnsi="仿宋_GB2312" w:cs="仿宋_GB2312" w:hint="eastAsia"/>
          <w:sz w:val="32"/>
          <w:szCs w:val="32"/>
        </w:rPr>
      </w:pPr>
      <w:r>
        <w:rPr>
          <w:rFonts w:ascii="仿宋_GB2312" w:hAnsi="仿宋_GB2312" w:cs="仿宋_GB2312" w:hint="eastAsia"/>
          <w:sz w:val="32"/>
          <w:szCs w:val="32"/>
        </w:rPr>
        <w:t>我公司已知悉海南电力交易中心只执行在交易系统签订的电子合同，已加强电子印章</w:t>
      </w:r>
      <w:r>
        <w:rPr>
          <w:rFonts w:ascii="仿宋_GB2312" w:hAnsi="仿宋_GB2312" w:cs="仿宋_GB2312" w:hint="eastAsia"/>
          <w:sz w:val="32"/>
          <w:szCs w:val="32"/>
          <w:lang w:eastAsia="zh-CN"/>
        </w:rPr>
        <w:t>、</w:t>
      </w:r>
      <w:r>
        <w:rPr>
          <w:rFonts w:ascii="仿宋_GB2312" w:hAnsi="仿宋_GB2312" w:cs="仿宋_GB2312" w:hint="eastAsia"/>
          <w:sz w:val="32"/>
          <w:szCs w:val="32"/>
        </w:rPr>
        <w:t>交易平台账户、密码、手机验证码、ukey</w:t>
      </w:r>
      <w:r>
        <w:rPr>
          <w:rFonts w:ascii="仿宋_GB2312" w:hAnsi="仿宋_GB2312" w:cs="仿宋_GB2312" w:hint="eastAsia"/>
          <w:sz w:val="32"/>
          <w:szCs w:val="32"/>
          <w:lang w:val="en-US" w:eastAsia="zh-CN"/>
        </w:rPr>
        <w:t>等</w:t>
      </w:r>
      <w:r>
        <w:rPr>
          <w:rFonts w:ascii="仿宋_GB2312" w:hAnsi="仿宋_GB2312" w:cs="仿宋_GB2312" w:hint="eastAsia"/>
          <w:sz w:val="32"/>
          <w:szCs w:val="32"/>
        </w:rPr>
        <w:t>的使用管理，与XXX公司合作和签署电力市场有关合同是经过独立判断之后所做出的符合本公司真实意愿的决定。</w:t>
      </w:r>
    </w:p>
    <w:p>
      <w:pPr>
        <w:pStyle w:val="TOC2"/>
        <w:spacing w:line="560" w:lineRule="exact"/>
        <w:ind w:left="0" w:firstLine="560" w:leftChars="0"/>
        <w:rPr>
          <w:rFonts w:ascii="仿宋_GB2312" w:hAnsi="仿宋_GB2312" w:cs="仿宋_GB2312" w:hint="eastAsia"/>
          <w:sz w:val="32"/>
          <w:szCs w:val="32"/>
        </w:rPr>
      </w:pPr>
    </w:p>
    <w:p>
      <w:pPr>
        <w:pStyle w:val="TOC2"/>
        <w:spacing w:line="560" w:lineRule="exact"/>
        <w:ind w:left="0" w:firstLine="560" w:leftChars="0"/>
        <w:rPr>
          <w:rFonts w:ascii="仿宋_GB2312" w:hAnsi="仿宋_GB2312" w:cs="仿宋_GB2312" w:hint="eastAsia"/>
          <w:sz w:val="32"/>
          <w:szCs w:val="32"/>
        </w:rPr>
      </w:pPr>
    </w:p>
    <w:p>
      <w:pPr>
        <w:pStyle w:val="TOC2"/>
        <w:ind w:firstLine="5760" w:firstLineChars="1800"/>
        <w:rPr>
          <w:rFonts w:ascii="仿宋_GB2312" w:eastAsia="仿宋_GB2312" w:hAnsi="仿宋_GB2312" w:cs="仿宋_GB2312" w:hint="eastAsia"/>
          <w:color w:val="auto"/>
          <w:highlight w:val="none"/>
        </w:rPr>
      </w:pPr>
      <w:r>
        <w:rPr>
          <w:rFonts w:ascii="仿宋_GB2312" w:hAnsi="仿宋_GB2312" w:cs="仿宋_GB2312" w:hint="eastAsia"/>
          <w:sz w:val="32"/>
          <w:szCs w:val="32"/>
        </w:rPr>
        <w:t>XX年XX月XX日</w:t>
      </w: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仿宋_GB2312" w:eastAsia="仿宋_GB2312" w:hAnsi="仿宋_GB2312" w:cs="仿宋_GB2312" w:hint="eastAsia"/>
          <w:color w:val="auto"/>
          <w:spacing w:val="5"/>
          <w:sz w:val="32"/>
          <w:szCs w:val="32"/>
          <w:highlight w:val="none"/>
          <w:lang w:eastAsia="zh-CN"/>
        </w:rPr>
      </w:pPr>
    </w:p>
    <w:p>
      <w:pPr>
        <w:pStyle w:val="BodyText"/>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eastAsia="仿宋_GB2312" w:hAnsi="仿宋_GB2312" w:cs="仿宋_GB2312" w:hint="eastAsia"/>
          <w:color w:val="auto"/>
          <w:highlight w:val="none"/>
        </w:rPr>
      </w:pPr>
    </w:p>
    <w:sectPr>
      <w:headerReference w:type="default" r:id="rId6"/>
      <w:footerReference w:type="default" r:id="rId7"/>
      <w:pgSz w:w="11906" w:h="16838"/>
      <w:pgMar w:top="1440" w:right="1800" w:bottom="1440" w:left="1800" w:header="981" w:footer="981" w:gutter="0"/>
      <w:pgNumType w:fmt="decimal"/>
      <w:cols w:num="1" w:space="0"/>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43" w:lineRule="exact"/>
      <w:ind w:left="4129"/>
      <w:rPr>
        <w:rFonts w:ascii="Arial" w:eastAsia="Arial" w:hAnsi="Arial" w:cs="Arial"/>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45" w:lineRule="exact"/>
      <w:ind w:left="4086"/>
      <w:rPr>
        <w:rFonts w:ascii="Arial" w:eastAsia="Arial" w:hAnsi="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85" w:line="168" w:lineRule="auto"/>
      <w:ind w:left="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BBEA3A"/>
    <w:multiLevelType w:val="singleLevel"/>
    <w:tmpl w:val="FFBBEA3A"/>
    <w:lvl w:ilvl="0">
      <w:start w:val="3"/>
      <w:numFmt w:val="chineseCounting"/>
      <w:suff w:val="nothing"/>
      <w:lvlText w:val="（%1）"/>
      <w:lvlJc w:val="left"/>
      <w:rPr>
        <w:rFonts w:hint="eastAsia"/>
      </w:rPr>
    </w:lvl>
  </w:abstractNum>
  <w:abstractNum w:abstractNumId="1">
    <w:nsid w:val="77CAE0A4"/>
    <w:multiLevelType w:val="singleLevel"/>
    <w:tmpl w:val="77CAE0A4"/>
    <w:lvl w:ilvl="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交易中心文书">
    <w15:presenceInfo w15:providerId="None" w15:userId="交易中心文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comments="1" w:formatting="1" w:inkAnnotations="1" w:insDel="1" w:markup="0"/>
  <w:trackRevisions/>
  <w:defaultTabStop w:val="720"/>
  <w:noPunctuationKerning/>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172A27"/>
    <w:rsid w:val="CF34008B"/>
    <w:rsid w:val="F3AF5B47"/>
    <w:rsid w:val="003767A0"/>
    <w:rsid w:val="03662366"/>
    <w:rsid w:val="07AA3DE3"/>
    <w:rsid w:val="0DFB5E1A"/>
    <w:rsid w:val="0E1B0D59"/>
    <w:rsid w:val="11B357F3"/>
    <w:rsid w:val="11ED1A91"/>
    <w:rsid w:val="13106B3D"/>
    <w:rsid w:val="15A05AFE"/>
    <w:rsid w:val="16196B4E"/>
    <w:rsid w:val="18526DA1"/>
    <w:rsid w:val="19937E35"/>
    <w:rsid w:val="1C18305B"/>
    <w:rsid w:val="1D6070B8"/>
    <w:rsid w:val="1E6E7259"/>
    <w:rsid w:val="1E8508E0"/>
    <w:rsid w:val="1FAC181D"/>
    <w:rsid w:val="20C51C6C"/>
    <w:rsid w:val="25C75B54"/>
    <w:rsid w:val="262549C4"/>
    <w:rsid w:val="28EF29A5"/>
    <w:rsid w:val="2AC05D36"/>
    <w:rsid w:val="2F212509"/>
    <w:rsid w:val="2F4A1606"/>
    <w:rsid w:val="2F7B5806"/>
    <w:rsid w:val="31015DEC"/>
    <w:rsid w:val="31043BCD"/>
    <w:rsid w:val="32E873E7"/>
    <w:rsid w:val="3474329C"/>
    <w:rsid w:val="39034314"/>
    <w:rsid w:val="39B25B97"/>
    <w:rsid w:val="3A824236"/>
    <w:rsid w:val="40692A3B"/>
    <w:rsid w:val="40FC6C2A"/>
    <w:rsid w:val="413877F5"/>
    <w:rsid w:val="42FE749A"/>
    <w:rsid w:val="43FB612A"/>
    <w:rsid w:val="44A9789C"/>
    <w:rsid w:val="47E95D78"/>
    <w:rsid w:val="4A8F501A"/>
    <w:rsid w:val="4D3A633A"/>
    <w:rsid w:val="4D937AD1"/>
    <w:rsid w:val="4E5D2A1D"/>
    <w:rsid w:val="4E622728"/>
    <w:rsid w:val="4E7C74D7"/>
    <w:rsid w:val="55FA2585"/>
    <w:rsid w:val="581002B4"/>
    <w:rsid w:val="58B9329D"/>
    <w:rsid w:val="5AB554D9"/>
    <w:rsid w:val="5B747C44"/>
    <w:rsid w:val="5BDFF993"/>
    <w:rsid w:val="5BFA7EF6"/>
    <w:rsid w:val="5C466CF1"/>
    <w:rsid w:val="62AB4576"/>
    <w:rsid w:val="67FB06AA"/>
    <w:rsid w:val="68AC284D"/>
    <w:rsid w:val="69112B6D"/>
    <w:rsid w:val="697445A8"/>
    <w:rsid w:val="6C8E3FD6"/>
    <w:rsid w:val="6D97D2A9"/>
    <w:rsid w:val="6FFDCEA6"/>
    <w:rsid w:val="71B7759E"/>
    <w:rsid w:val="723D30E3"/>
    <w:rsid w:val="72442685"/>
    <w:rsid w:val="741669BF"/>
    <w:rsid w:val="75801B52"/>
    <w:rsid w:val="77190280"/>
    <w:rsid w:val="7A4D5F33"/>
    <w:rsid w:val="7AFFDB86"/>
    <w:rsid w:val="7DCE46B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39" w:qFormat="1"/>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OC2"/>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2">
    <w:name w:val="toc 2"/>
    <w:basedOn w:val="Normal"/>
    <w:next w:val="Normal"/>
    <w:uiPriority w:val="39"/>
    <w:unhideWhenUsed/>
    <w:qFormat/>
    <w:pPr>
      <w:spacing w:line="480" w:lineRule="auto"/>
      <w:ind w:left="420" w:firstLine="420" w:leftChars="200" w:firstLineChars="200"/>
    </w:pPr>
    <w:rPr>
      <w:rFonts w:ascii="Calibri" w:eastAsia="仿宋_GB2312" w:hAnsi="Calibri" w:cs="Times New Roman"/>
      <w:sz w:val="28"/>
      <w:szCs w:val="22"/>
    </w:rPr>
  </w:style>
  <w:style w:type="paragraph" w:styleId="CommentText">
    <w:name w:val="annotation text"/>
    <w:basedOn w:val="Normal"/>
    <w:qFormat/>
    <w:pPr>
      <w:jc w:val="left"/>
    </w:pPr>
  </w:style>
  <w:style w:type="paragraph" w:styleId="BodyText">
    <w:name w:val="Body Text"/>
    <w:basedOn w:val="Normal"/>
    <w:semiHidden/>
    <w:qFormat/>
    <w:rPr>
      <w:rFonts w:ascii="PingFang SC" w:eastAsia="PingFang SC" w:hAnsi="PingFang SC" w:cs="PingFang SC"/>
      <w:sz w:val="31"/>
      <w:szCs w:val="31"/>
      <w:lang w:val="en-US" w:eastAsia="en-US" w:bidi="ar-SA"/>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赵建飞</dc:creator>
  <cp:lastModifiedBy>交易中心文书</cp:lastModifiedBy>
  <cp:revision>0</cp:revision>
  <dcterms:created xsi:type="dcterms:W3CDTF">2022-11-19T03:31:00Z</dcterms:created>
  <dcterms:modified xsi:type="dcterms:W3CDTF">2026-01-27T01:45:40Z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2025-11-04T17:06:10Z</vt:filetime>
  </property>
  <property fmtid="{D5CDD505-2E9C-101B-9397-08002B2CF9AE}" pid="3" name="CRO">
    <vt:lpwstr>wqlLaW5nc29mdCBQREYgdG8gV1BTIDExNQ</vt:lpwstr>
  </property>
  <property fmtid="{D5CDD505-2E9C-101B-9397-08002B2CF9AE}" pid="4" name="ICV">
    <vt:lpwstr>3A94923CC7CF4E3FB49B1056492B249A</vt:lpwstr>
  </property>
  <property fmtid="{D5CDD505-2E9C-101B-9397-08002B2CF9AE}" pid="5" name="KSOProductBuildVer">
    <vt:lpwstr>2052-11.8.2.12085</vt:lpwstr>
  </property>
</Properties>
</file>