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1.0 -->
  <w:body>
    <w:p>
      <w:pPr>
        <w:spacing w:line="560" w:lineRule="exact"/>
        <w:jc w:val="left"/>
        <w:rPr>
          <w:rFonts w:ascii="黑体" w:eastAsia="黑体" w:hAnsi="黑体" w:cs="黑体" w:hint="eastAsia"/>
          <w:sz w:val="32"/>
          <w:szCs w:val="32"/>
          <w:lang w:val="en-US" w:eastAsia="zh-CN"/>
        </w:rPr>
      </w:pPr>
      <w:r>
        <w:rPr>
          <w:rFonts w:ascii="黑体" w:eastAsia="黑体" w:hAnsi="黑体" w:cs="黑体" w:hint="eastAsia"/>
          <w:sz w:val="32"/>
          <w:szCs w:val="32"/>
        </w:rPr>
        <w:t>海南交易〔2026</w:t>
      </w:r>
      <w:bookmarkStart w:id="0" w:name="_GoBack"/>
      <w:bookmarkEnd w:id="0"/>
      <w:r>
        <w:rPr>
          <w:rFonts w:ascii="黑体" w:eastAsia="黑体" w:hAnsi="黑体" w:cs="黑体" w:hint="eastAsia"/>
          <w:sz w:val="32"/>
          <w:szCs w:val="32"/>
        </w:rPr>
        <w:t>〕8号</w:t>
      </w:r>
      <w:r>
        <w:rPr>
          <w:rFonts w:ascii="黑体" w:eastAsia="黑体" w:hAnsi="黑体" w:cs="黑体" w:hint="eastAsia"/>
          <w:sz w:val="32"/>
          <w:szCs w:val="32"/>
          <w:lang w:eastAsia="zh-CN"/>
        </w:rPr>
        <w:t>附</w:t>
      </w:r>
      <w:r>
        <w:rPr>
          <w:rFonts w:ascii="黑体" w:eastAsia="黑体" w:hAnsi="黑体" w:cs="黑体" w:hint="eastAsia"/>
          <w:sz w:val="32"/>
          <w:szCs w:val="32"/>
          <w:lang w:eastAsia="zh-CN"/>
        </w:rPr>
        <w:t>件</w:t>
      </w:r>
      <w:r>
        <w:rPr>
          <w:rFonts w:ascii="黑体" w:eastAsia="黑体" w:hAnsi="黑体" w:cs="黑体" w:hint="eastAsia"/>
          <w:sz w:val="32"/>
          <w:szCs w:val="32"/>
          <w:lang w:val="en-US" w:eastAsia="zh-CN"/>
        </w:rPr>
        <w:t>2</w:t>
      </w:r>
    </w:p>
    <w:p>
      <w:pPr>
        <w:spacing w:line="560" w:lineRule="exact"/>
        <w:jc w:val="center"/>
        <w:rPr>
          <w:rFonts w:ascii="方正小标宋_GBK" w:eastAsia="方正小标宋_GBK" w:hAnsi="方正小标宋_GBK" w:cs="方正小标宋_GBK" w:hint="eastAsia"/>
          <w:sz w:val="44"/>
          <w:szCs w:val="44"/>
        </w:rPr>
      </w:pPr>
    </w:p>
    <w:p>
      <w:pPr>
        <w:spacing w:line="560" w:lineRule="exact"/>
        <w:jc w:val="center"/>
        <w:rPr>
          <w:rFonts w:ascii="方正小标宋_GBK" w:eastAsia="方正小标宋_GBK" w:hAnsi="方正小标宋_GBK" w:cs="方正小标宋_GBK" w:hint="eastAsia"/>
          <w:sz w:val="44"/>
          <w:szCs w:val="44"/>
        </w:rPr>
      </w:pPr>
      <w:r>
        <w:rPr>
          <w:rFonts w:ascii="方正小标宋_GBK" w:eastAsia="方正小标宋_GBK" w:hAnsi="方正小标宋_GBK" w:cs="方正小标宋_GBK" w:hint="eastAsia"/>
          <w:sz w:val="44"/>
          <w:szCs w:val="44"/>
        </w:rPr>
        <w:t>海南电力市场争议纠纷调解指引</w:t>
      </w:r>
    </w:p>
    <w:p>
      <w:pPr>
        <w:spacing w:line="560" w:lineRule="exact"/>
        <w:jc w:val="center"/>
        <w:rPr>
          <w:rFonts w:ascii="方正小标宋_GBK" w:eastAsia="方正小标宋_GBK" w:hAnsi="方正小标宋_GBK" w:cs="方正小标宋_GBK" w:hint="eastAsia"/>
          <w:sz w:val="44"/>
          <w:szCs w:val="44"/>
          <w:lang w:eastAsia="zh-CN"/>
        </w:rPr>
      </w:pPr>
      <w:r>
        <w:rPr>
          <w:rFonts w:ascii="方正小标宋_GBK" w:eastAsia="方正小标宋_GBK" w:hAnsi="方正小标宋_GBK" w:cs="方正小标宋_GBK" w:hint="eastAsia"/>
          <w:sz w:val="44"/>
          <w:szCs w:val="44"/>
          <w:lang w:eastAsia="zh-CN"/>
        </w:rPr>
        <w:t>（</w:t>
      </w:r>
      <w:r>
        <w:rPr>
          <w:rFonts w:ascii="方正小标宋_GBK" w:eastAsia="方正小标宋_GBK" w:hAnsi="方正小标宋_GBK" w:cs="方正小标宋_GBK" w:hint="eastAsia"/>
          <w:sz w:val="44"/>
          <w:szCs w:val="44"/>
          <w:lang w:val="en-US" w:eastAsia="zh-CN"/>
        </w:rPr>
        <w:t>征求意见稿</w:t>
      </w:r>
      <w:r>
        <w:rPr>
          <w:rFonts w:ascii="方正小标宋_GBK" w:eastAsia="方正小标宋_GBK" w:hAnsi="方正小标宋_GBK" w:cs="方正小标宋_GBK" w:hint="eastAsia"/>
          <w:sz w:val="44"/>
          <w:szCs w:val="44"/>
          <w:lang w:eastAsia="zh-CN"/>
        </w:rPr>
        <w:t>）</w:t>
      </w:r>
    </w:p>
    <w:p>
      <w:pPr>
        <w:widowControl/>
        <w:spacing w:line="560" w:lineRule="exact"/>
        <w:ind w:firstLine="620" w:firstLineChars="200"/>
        <w:jc w:val="center"/>
        <w:rPr>
          <w:rFonts w:ascii="黑体" w:eastAsia="黑体" w:hAnsi="宋体" w:cs="黑体" w:hint="eastAsia"/>
          <w:color w:val="000000"/>
          <w:kern w:val="0"/>
          <w:sz w:val="31"/>
          <w:szCs w:val="31"/>
          <w:lang w:bidi="ar"/>
        </w:rPr>
      </w:pPr>
    </w:p>
    <w:p>
      <w:pPr>
        <w:widowControl/>
        <w:spacing w:line="560" w:lineRule="exact"/>
        <w:ind w:firstLine="640" w:firstLineChars="200"/>
        <w:jc w:val="center"/>
        <w:rPr>
          <w:sz w:val="32"/>
          <w:szCs w:val="32"/>
        </w:rPr>
      </w:pPr>
      <w:r>
        <w:rPr>
          <w:rFonts w:ascii="黑体" w:eastAsia="黑体" w:hAnsi="宋体" w:cs="黑体"/>
          <w:color w:val="000000"/>
          <w:kern w:val="0"/>
          <w:sz w:val="32"/>
          <w:szCs w:val="32"/>
          <w:lang w:bidi="ar"/>
        </w:rPr>
        <w:t>第一章</w:t>
      </w:r>
      <w:r>
        <w:rPr>
          <w:rFonts w:ascii="黑体" w:eastAsia="黑体" w:hAnsi="宋体" w:cs="黑体" w:hint="eastAsia"/>
          <w:color w:val="000000"/>
          <w:kern w:val="0"/>
          <w:sz w:val="32"/>
          <w:szCs w:val="32"/>
          <w:lang w:bidi="ar"/>
        </w:rPr>
        <w:t xml:space="preserve"> </w:t>
      </w:r>
      <w:r>
        <w:rPr>
          <w:rFonts w:ascii="黑体" w:eastAsia="黑体" w:hAnsi="宋体" w:cs="黑体"/>
          <w:color w:val="000000"/>
          <w:kern w:val="0"/>
          <w:sz w:val="32"/>
          <w:szCs w:val="32"/>
          <w:lang w:bidi="ar"/>
        </w:rPr>
        <w:t>总则</w:t>
      </w:r>
    </w:p>
    <w:p>
      <w:pPr>
        <w:widowControl/>
        <w:spacing w:line="560" w:lineRule="exact"/>
        <w:ind w:firstLine="640" w:firstLineChars="200"/>
        <w:rPr>
          <w:sz w:val="32"/>
          <w:szCs w:val="32"/>
        </w:rPr>
      </w:pPr>
      <w:r>
        <w:rPr>
          <w:rFonts w:ascii="仿宋" w:eastAsia="仿宋" w:hAnsi="仿宋" w:cs="仿宋"/>
          <w:b/>
          <w:bCs/>
          <w:color w:val="000000"/>
          <w:kern w:val="0"/>
          <w:sz w:val="32"/>
          <w:szCs w:val="32"/>
          <w:lang w:bidi="ar"/>
        </w:rPr>
        <w:t>第一条</w:t>
      </w:r>
      <w:r>
        <w:rPr>
          <w:rFonts w:ascii="仿宋" w:eastAsia="仿宋" w:hAnsi="仿宋" w:cs="仿宋" w:hint="eastAsia"/>
          <w:b/>
          <w:bCs/>
          <w:color w:val="000000"/>
          <w:kern w:val="0"/>
          <w:sz w:val="32"/>
          <w:szCs w:val="32"/>
          <w:lang w:bidi="ar"/>
        </w:rPr>
        <w:t xml:space="preserve"> </w:t>
      </w:r>
      <w:r>
        <w:rPr>
          <w:rFonts w:ascii="仿宋_GB2312" w:eastAsia="仿宋_GB2312" w:hAnsi="宋体" w:cs="仿宋_GB2312"/>
          <w:color w:val="000000"/>
          <w:kern w:val="0"/>
          <w:sz w:val="32"/>
          <w:szCs w:val="32"/>
          <w:lang w:bidi="ar"/>
        </w:rPr>
        <w:t>为进一步规范</w:t>
      </w:r>
      <w:r>
        <w:rPr>
          <w:rFonts w:ascii="仿宋_GB2312" w:eastAsia="仿宋_GB2312" w:hAnsi="宋体" w:cs="仿宋_GB2312" w:hint="eastAsia"/>
          <w:color w:val="000000"/>
          <w:kern w:val="0"/>
          <w:sz w:val="32"/>
          <w:szCs w:val="32"/>
          <w:lang w:bidi="ar"/>
        </w:rPr>
        <w:t>海南</w:t>
      </w:r>
      <w:r>
        <w:rPr>
          <w:rFonts w:ascii="仿宋_GB2312" w:eastAsia="仿宋_GB2312" w:hAnsi="宋体" w:cs="仿宋_GB2312"/>
          <w:color w:val="000000"/>
          <w:kern w:val="0"/>
          <w:sz w:val="32"/>
          <w:szCs w:val="32"/>
          <w:lang w:bidi="ar"/>
        </w:rPr>
        <w:t>电力市场秩序，完善市场争议</w:t>
      </w:r>
      <w:r>
        <w:rPr>
          <w:rFonts w:ascii="仿宋_GB2312" w:eastAsia="仿宋_GB2312" w:hAnsi="宋体" w:cs="仿宋_GB2312" w:hint="eastAsia"/>
          <w:color w:val="000000"/>
          <w:kern w:val="0"/>
          <w:sz w:val="32"/>
          <w:szCs w:val="32"/>
          <w:lang w:bidi="ar"/>
        </w:rPr>
        <w:t>调解制度，维护市场成员合法权益，</w:t>
      </w:r>
      <w:r>
        <w:rPr>
          <w:rFonts w:ascii="仿宋_GB2312" w:eastAsia="仿宋_GB2312" w:hAnsi="宋体" w:cs="仿宋_GB2312" w:hint="eastAsia"/>
          <w:kern w:val="0"/>
          <w:sz w:val="32"/>
          <w:szCs w:val="32"/>
          <w:lang w:bidi="ar"/>
        </w:rPr>
        <w:t>海南电力市场管理委员会</w:t>
      </w:r>
      <w:r>
        <w:rPr>
          <w:rFonts w:ascii="仿宋_GB2312" w:eastAsia="仿宋_GB2312" w:hAnsi="宋体" w:cs="仿宋_GB2312" w:hint="eastAsia"/>
          <w:color w:val="000000"/>
          <w:kern w:val="0"/>
          <w:sz w:val="32"/>
          <w:szCs w:val="32"/>
          <w:lang w:bidi="ar"/>
        </w:rPr>
        <w:t>（以下简称“市场管理委员会”）根据《国家能源局争议纠纷调解规定》《南方区域电力市场争议协调工作机制》等相关法律法规和规范性文件以及海南电力市场相关规则，制定本指引。</w:t>
      </w:r>
    </w:p>
    <w:p>
      <w:pPr>
        <w:widowControl/>
        <w:spacing w:line="560" w:lineRule="exact"/>
        <w:ind w:firstLine="640" w:firstLineChars="200"/>
        <w:jc w:val="left"/>
        <w:rPr>
          <w:sz w:val="32"/>
          <w:szCs w:val="32"/>
        </w:rPr>
      </w:pPr>
      <w:r>
        <w:rPr>
          <w:rFonts w:ascii="仿宋_GB2312" w:eastAsia="仿宋_GB2312" w:hAnsi="宋体" w:cs="仿宋_GB2312" w:hint="eastAsia"/>
          <w:b/>
          <w:bCs/>
          <w:color w:val="000000"/>
          <w:kern w:val="0"/>
          <w:sz w:val="32"/>
          <w:szCs w:val="32"/>
          <w:lang w:bidi="ar"/>
        </w:rPr>
        <w:t xml:space="preserve">第二条 </w:t>
      </w:r>
      <w:r>
        <w:rPr>
          <w:rFonts w:ascii="仿宋_GB2312" w:eastAsia="仿宋_GB2312" w:hAnsi="宋体" w:cs="仿宋_GB2312" w:hint="eastAsia"/>
          <w:color w:val="000000"/>
          <w:kern w:val="0"/>
          <w:sz w:val="32"/>
          <w:szCs w:val="32"/>
          <w:lang w:bidi="ar"/>
        </w:rPr>
        <w:t>本指引适用于经营主体之间因合同签订、合同履行和市场行为等产生的分歧，经营主体与运营机构之间因规则执行和服务质量等方面产生的争议，包括省内中长期交易和零售市场等相关的争议。</w:t>
      </w:r>
    </w:p>
    <w:p>
      <w:pPr>
        <w:widowControl/>
        <w:spacing w:line="560" w:lineRule="exact"/>
        <w:ind w:firstLine="640" w:firstLineChars="200"/>
        <w:jc w:val="left"/>
        <w:rPr>
          <w:sz w:val="32"/>
          <w:szCs w:val="32"/>
        </w:rPr>
      </w:pPr>
      <w:r>
        <w:rPr>
          <w:rFonts w:ascii="仿宋_GB2312" w:eastAsia="仿宋_GB2312" w:hAnsi="宋体" w:cs="仿宋_GB2312" w:hint="eastAsia"/>
          <w:b/>
          <w:bCs/>
          <w:color w:val="000000"/>
          <w:kern w:val="0"/>
          <w:sz w:val="32"/>
          <w:szCs w:val="32"/>
          <w:lang w:bidi="ar"/>
        </w:rPr>
        <w:t xml:space="preserve">第三条 </w:t>
      </w:r>
      <w:r>
        <w:rPr>
          <w:rFonts w:ascii="仿宋_GB2312" w:eastAsia="仿宋_GB2312" w:hAnsi="宋体" w:cs="仿宋_GB2312" w:hint="eastAsia"/>
          <w:color w:val="000000"/>
          <w:kern w:val="0"/>
          <w:sz w:val="32"/>
          <w:szCs w:val="32"/>
          <w:lang w:bidi="ar"/>
        </w:rPr>
        <w:t>市场争议协调实行自愿原则，协调工作过程应符合法律、行政法规和市场规则等规定，以事实为依据，遵循公平、公正、合理原则。</w:t>
      </w:r>
    </w:p>
    <w:p>
      <w:pPr>
        <w:widowControl/>
        <w:spacing w:line="560" w:lineRule="exact"/>
        <w:ind w:firstLine="640" w:firstLineChars="200"/>
        <w:jc w:val="center"/>
        <w:rPr>
          <w:rFonts w:ascii="黑体" w:eastAsia="黑体" w:hAnsi="宋体" w:cs="黑体" w:hint="eastAsia"/>
          <w:color w:val="000000"/>
          <w:kern w:val="0"/>
          <w:sz w:val="32"/>
          <w:szCs w:val="32"/>
          <w:lang w:bidi="ar"/>
        </w:rPr>
      </w:pPr>
    </w:p>
    <w:p>
      <w:pPr>
        <w:widowControl/>
        <w:spacing w:line="560" w:lineRule="exact"/>
        <w:ind w:firstLine="640" w:firstLineChars="200"/>
        <w:jc w:val="center"/>
        <w:rPr>
          <w:sz w:val="32"/>
          <w:szCs w:val="32"/>
        </w:rPr>
      </w:pPr>
      <w:r>
        <w:rPr>
          <w:rFonts w:ascii="黑体" w:eastAsia="黑体" w:hAnsi="宋体" w:cs="黑体" w:hint="eastAsia"/>
          <w:color w:val="000000"/>
          <w:kern w:val="0"/>
          <w:sz w:val="32"/>
          <w:szCs w:val="32"/>
          <w:lang w:bidi="ar"/>
        </w:rPr>
        <w:t>第二章 协调机构与职责分工</w:t>
      </w:r>
    </w:p>
    <w:p>
      <w:pPr>
        <w:widowControl/>
        <w:spacing w:line="560" w:lineRule="exact"/>
        <w:ind w:firstLine="640" w:firstLineChars="200"/>
        <w:jc w:val="left"/>
        <w:rPr>
          <w:sz w:val="32"/>
          <w:szCs w:val="32"/>
        </w:rPr>
      </w:pPr>
      <w:r>
        <w:rPr>
          <w:rFonts w:ascii="仿宋_GB2312" w:eastAsia="仿宋_GB2312" w:hAnsi="仿宋_GB2312" w:cs="仿宋_GB2312" w:hint="eastAsia"/>
          <w:b/>
          <w:bCs/>
          <w:color w:val="000000"/>
          <w:kern w:val="0"/>
          <w:sz w:val="32"/>
          <w:szCs w:val="32"/>
          <w:lang w:bidi="ar"/>
        </w:rPr>
        <w:t>第四条</w:t>
      </w:r>
      <w:r>
        <w:rPr>
          <w:rFonts w:ascii="仿宋" w:eastAsia="仿宋" w:hAnsi="仿宋" w:cs="仿宋" w:hint="eastAsia"/>
          <w:b/>
          <w:bCs/>
          <w:color w:val="000000"/>
          <w:kern w:val="0"/>
          <w:sz w:val="32"/>
          <w:szCs w:val="32"/>
          <w:lang w:bidi="ar"/>
        </w:rPr>
        <w:t xml:space="preserve"> </w:t>
      </w:r>
      <w:r>
        <w:rPr>
          <w:rFonts w:ascii="仿宋_GB2312" w:eastAsia="仿宋_GB2312" w:hAnsi="宋体" w:cs="仿宋_GB2312" w:hint="eastAsia"/>
          <w:color w:val="000000"/>
          <w:kern w:val="0"/>
          <w:sz w:val="32"/>
          <w:szCs w:val="32"/>
          <w:lang w:bidi="ar"/>
        </w:rPr>
        <w:t>海南电力市场争议协调机构包括电力市场运营机构（海南电力交易中心和海南电力调度机构）、海南电力市场管理委员会</w:t>
      </w:r>
      <w:r>
        <w:rPr>
          <w:rFonts w:ascii="仿宋" w:eastAsia="仿宋" w:hAnsi="仿宋" w:cs="仿宋" w:hint="eastAsia"/>
          <w:color w:val="000000"/>
          <w:kern w:val="0"/>
          <w:sz w:val="32"/>
          <w:szCs w:val="32"/>
          <w:lang w:bidi="ar"/>
        </w:rPr>
        <w:t>（</w:t>
      </w:r>
      <w:r>
        <w:rPr>
          <w:rFonts w:ascii="楷体" w:eastAsia="楷体" w:hAnsi="楷体" w:cs="楷体" w:hint="eastAsia"/>
          <w:color w:val="000000"/>
          <w:kern w:val="0"/>
          <w:sz w:val="32"/>
          <w:szCs w:val="32"/>
          <w:lang w:bidi="ar"/>
        </w:rPr>
        <w:t>以下简称“市场管理委员会”</w:t>
      </w:r>
      <w:r>
        <w:rPr>
          <w:rFonts w:ascii="仿宋" w:eastAsia="仿宋" w:hAnsi="仿宋" w:cs="仿宋" w:hint="eastAsia"/>
          <w:color w:val="000000"/>
          <w:kern w:val="0"/>
          <w:sz w:val="32"/>
          <w:szCs w:val="32"/>
          <w:lang w:bidi="ar"/>
        </w:rPr>
        <w:t>）。</w:t>
      </w:r>
      <w:r>
        <w:rPr>
          <w:rFonts w:ascii="仿宋_GB2312" w:eastAsia="仿宋_GB2312" w:hAnsi="宋体" w:cs="仿宋_GB2312" w:hint="eastAsia"/>
          <w:color w:val="000000"/>
          <w:kern w:val="0"/>
          <w:sz w:val="32"/>
          <w:szCs w:val="32"/>
          <w:lang w:bidi="ar"/>
        </w:rPr>
        <w:t>经协调机构协调后，争议双方仍达不成共识的，可向国家能源局南方监管局、省发改委能源部门申请行政调解，也可直接向仲裁机构申请仲裁或向人民法院提起诉讼。</w:t>
      </w:r>
    </w:p>
    <w:p>
      <w:pPr>
        <w:widowControl/>
        <w:spacing w:line="560" w:lineRule="exact"/>
        <w:ind w:firstLine="640" w:firstLineChars="200"/>
        <w:jc w:val="left"/>
        <w:rPr>
          <w:sz w:val="32"/>
          <w:szCs w:val="32"/>
        </w:rPr>
      </w:pPr>
      <w:r>
        <w:rPr>
          <w:rFonts w:ascii="仿宋_GB2312" w:eastAsia="仿宋_GB2312" w:hAnsi="宋体" w:cs="仿宋_GB2312" w:hint="eastAsia"/>
          <w:color w:val="000000"/>
          <w:kern w:val="0"/>
          <w:sz w:val="32"/>
          <w:szCs w:val="32"/>
          <w:lang w:bidi="ar"/>
        </w:rPr>
        <w:t>（一）经营主体之间的市场争议采取二级协调机制。首次申请</w:t>
      </w:r>
      <w:r>
        <w:rPr>
          <w:rFonts w:ascii="仿宋_GB2312" w:eastAsia="仿宋_GB2312" w:hAnsi="宋体" w:cs="仿宋_GB2312" w:hint="eastAsia"/>
          <w:color w:val="000000"/>
          <w:kern w:val="0"/>
          <w:sz w:val="32"/>
          <w:szCs w:val="32"/>
          <w:lang w:val="en-US" w:eastAsia="zh-CN" w:bidi="ar"/>
        </w:rPr>
        <w:t>向</w:t>
      </w:r>
      <w:r>
        <w:rPr>
          <w:rFonts w:ascii="仿宋_GB2312" w:eastAsia="仿宋_GB2312" w:hAnsi="宋体" w:cs="仿宋_GB2312" w:hint="eastAsia"/>
          <w:color w:val="000000"/>
          <w:kern w:val="0"/>
          <w:sz w:val="32"/>
          <w:szCs w:val="32"/>
          <w:lang w:bidi="ar"/>
        </w:rPr>
        <w:t>市场管理委员会</w:t>
      </w:r>
      <w:r>
        <w:rPr>
          <w:rFonts w:ascii="仿宋_GB2312" w:eastAsia="仿宋_GB2312" w:hAnsi="宋体" w:cs="仿宋_GB2312" w:hint="eastAsia"/>
          <w:color w:val="000000"/>
          <w:kern w:val="0"/>
          <w:sz w:val="32"/>
          <w:szCs w:val="32"/>
          <w:lang w:val="en-US" w:eastAsia="zh-CN" w:bidi="ar"/>
        </w:rPr>
        <w:t>秘书处</w:t>
      </w:r>
      <w:r>
        <w:rPr>
          <w:rFonts w:ascii="仿宋_GB2312" w:eastAsia="仿宋_GB2312" w:hAnsi="宋体" w:cs="仿宋_GB2312" w:hint="eastAsia"/>
          <w:color w:val="000000"/>
          <w:kern w:val="0"/>
          <w:sz w:val="32"/>
          <w:szCs w:val="32"/>
          <w:lang w:bidi="ar"/>
        </w:rPr>
        <w:t>提出</w:t>
      </w:r>
      <w:r>
        <w:rPr>
          <w:rFonts w:ascii="仿宋_GB2312" w:eastAsia="仿宋_GB2312" w:hAnsi="宋体" w:cs="仿宋_GB2312" w:hint="eastAsia"/>
          <w:color w:val="000000"/>
          <w:kern w:val="0"/>
          <w:sz w:val="32"/>
          <w:szCs w:val="32"/>
          <w:lang w:val="en-US" w:eastAsia="zh-CN" w:bidi="ar"/>
        </w:rPr>
        <w:t>申请</w:t>
      </w:r>
      <w:r>
        <w:rPr>
          <w:rFonts w:ascii="仿宋_GB2312" w:eastAsia="仿宋_GB2312" w:hAnsi="宋体" w:cs="仿宋_GB2312" w:hint="eastAsia"/>
          <w:color w:val="000000"/>
          <w:kern w:val="0"/>
          <w:sz w:val="32"/>
          <w:szCs w:val="32"/>
          <w:lang w:bidi="ar"/>
        </w:rPr>
        <w:t>，由运营机构组织协调；运营机构协调后达不成共识的，由市场管理委员会组织协调。</w:t>
      </w:r>
    </w:p>
    <w:p>
      <w:pPr>
        <w:widowControl/>
        <w:spacing w:line="560" w:lineRule="exact"/>
        <w:ind w:firstLine="640" w:firstLineChars="200"/>
        <w:jc w:val="left"/>
        <w:rPr>
          <w:sz w:val="32"/>
          <w:szCs w:val="32"/>
        </w:rPr>
      </w:pPr>
      <w:r>
        <w:rPr>
          <w:rFonts w:ascii="仿宋_GB2312" w:eastAsia="仿宋_GB2312" w:hAnsi="宋体" w:cs="仿宋_GB2312" w:hint="eastAsia"/>
          <w:color w:val="000000"/>
          <w:kern w:val="0"/>
          <w:sz w:val="32"/>
          <w:szCs w:val="32"/>
          <w:lang w:bidi="ar"/>
        </w:rPr>
        <w:t>（二）经营主体与运营机构之间的市场争议，可直接向市场管理委员会提出申请，由市场管理委员会组织协调。</w:t>
      </w:r>
    </w:p>
    <w:p>
      <w:pPr>
        <w:widowControl/>
        <w:spacing w:line="560" w:lineRule="exact"/>
        <w:ind w:firstLine="640" w:firstLineChars="200"/>
        <w:jc w:val="left"/>
        <w:rPr>
          <w:sz w:val="32"/>
          <w:szCs w:val="32"/>
        </w:rPr>
      </w:pPr>
      <w:r>
        <w:rPr>
          <w:rFonts w:ascii="仿宋_GB2312" w:eastAsia="仿宋_GB2312" w:hAnsi="宋体" w:cs="仿宋_GB2312" w:hint="eastAsia"/>
          <w:b/>
          <w:bCs/>
          <w:color w:val="000000"/>
          <w:kern w:val="0"/>
          <w:sz w:val="32"/>
          <w:szCs w:val="32"/>
          <w:lang w:bidi="ar"/>
        </w:rPr>
        <w:t xml:space="preserve">第五条 </w:t>
      </w:r>
      <w:r>
        <w:rPr>
          <w:rFonts w:ascii="仿宋_GB2312" w:eastAsia="仿宋_GB2312" w:hAnsi="宋体" w:cs="仿宋_GB2312" w:hint="eastAsia"/>
          <w:color w:val="000000"/>
          <w:kern w:val="0"/>
          <w:sz w:val="32"/>
          <w:szCs w:val="32"/>
          <w:lang w:bidi="ar"/>
        </w:rPr>
        <w:t>运营机构充分发挥熟悉市场规则、市场交易流程与运行情况的优势，组织初步协调工作。</w:t>
      </w:r>
    </w:p>
    <w:p>
      <w:pPr>
        <w:widowControl/>
        <w:spacing w:line="560" w:lineRule="exact"/>
        <w:ind w:firstLine="640" w:firstLineChars="200"/>
        <w:jc w:val="left"/>
        <w:rPr>
          <w:rFonts w:ascii="仿宋_GB2312" w:eastAsia="仿宋_GB2312" w:hAnsi="宋体" w:cs="仿宋_GB2312" w:hint="eastAsia"/>
          <w:color w:val="000000"/>
          <w:kern w:val="0"/>
          <w:sz w:val="32"/>
          <w:szCs w:val="32"/>
          <w:lang w:bidi="ar"/>
        </w:rPr>
      </w:pPr>
      <w:r>
        <w:rPr>
          <w:rFonts w:ascii="仿宋_GB2312" w:eastAsia="仿宋_GB2312" w:hAnsi="宋体" w:cs="仿宋_GB2312" w:hint="eastAsia"/>
          <w:b/>
          <w:bCs/>
          <w:color w:val="000000"/>
          <w:kern w:val="0"/>
          <w:sz w:val="32"/>
          <w:szCs w:val="32"/>
          <w:lang w:bidi="ar"/>
        </w:rPr>
        <w:t xml:space="preserve">第六条 </w:t>
      </w:r>
      <w:r>
        <w:rPr>
          <w:rFonts w:ascii="仿宋_GB2312" w:eastAsia="仿宋_GB2312" w:hAnsi="宋体" w:cs="仿宋_GB2312" w:hint="eastAsia"/>
          <w:color w:val="000000"/>
          <w:kern w:val="0"/>
          <w:sz w:val="32"/>
          <w:szCs w:val="32"/>
          <w:lang w:bidi="ar"/>
        </w:rPr>
        <w:t>市场管理委员会严格按照“实施市场内部自律管理”“监督和纠正扰乱电力市场正常秩序行为”的职责，从市场主体共同利益与市场整体发展角度开展协调工作。</w:t>
      </w:r>
    </w:p>
    <w:p>
      <w:pPr>
        <w:widowControl/>
        <w:spacing w:line="560" w:lineRule="exact"/>
        <w:ind w:firstLine="640" w:firstLineChars="200"/>
        <w:jc w:val="left"/>
        <w:rPr>
          <w:rFonts w:ascii="仿宋_GB2312" w:eastAsia="仿宋_GB2312" w:hAnsi="宋体" w:cs="仿宋_GB2312" w:hint="eastAsia"/>
          <w:color w:val="000000"/>
          <w:kern w:val="0"/>
          <w:sz w:val="32"/>
          <w:szCs w:val="32"/>
          <w:lang w:bidi="ar"/>
        </w:rPr>
      </w:pPr>
    </w:p>
    <w:p>
      <w:pPr>
        <w:widowControl/>
        <w:spacing w:line="560" w:lineRule="exact"/>
        <w:ind w:firstLine="640" w:firstLineChars="200"/>
        <w:jc w:val="center"/>
        <w:rPr>
          <w:sz w:val="32"/>
          <w:szCs w:val="32"/>
        </w:rPr>
      </w:pPr>
      <w:r>
        <w:rPr>
          <w:rFonts w:ascii="黑体" w:eastAsia="黑体" w:hAnsi="宋体" w:cs="黑体" w:hint="eastAsia"/>
          <w:color w:val="000000"/>
          <w:kern w:val="0"/>
          <w:sz w:val="32"/>
          <w:szCs w:val="32"/>
          <w:lang w:bidi="ar"/>
        </w:rPr>
        <w:t>第三章 争议申请与受理</w:t>
      </w:r>
    </w:p>
    <w:p>
      <w:pPr>
        <w:widowControl/>
        <w:spacing w:line="560" w:lineRule="exact"/>
        <w:ind w:firstLine="640" w:firstLineChars="200"/>
        <w:jc w:val="left"/>
        <w:rPr>
          <w:sz w:val="32"/>
          <w:szCs w:val="32"/>
        </w:rPr>
      </w:pPr>
      <w:r>
        <w:rPr>
          <w:rFonts w:ascii="仿宋_GB2312" w:eastAsia="仿宋_GB2312" w:hAnsi="仿宋_GB2312" w:cs="仿宋_GB2312" w:hint="eastAsia"/>
          <w:b/>
          <w:bCs/>
          <w:color w:val="000000"/>
          <w:kern w:val="0"/>
          <w:sz w:val="32"/>
          <w:szCs w:val="32"/>
          <w:lang w:bidi="ar"/>
        </w:rPr>
        <w:t>第七条</w:t>
      </w:r>
      <w:r>
        <w:rPr>
          <w:rFonts w:ascii="仿宋" w:eastAsia="仿宋" w:hAnsi="仿宋" w:cs="仿宋" w:hint="eastAsia"/>
          <w:b/>
          <w:bCs/>
          <w:color w:val="000000"/>
          <w:kern w:val="0"/>
          <w:sz w:val="32"/>
          <w:szCs w:val="32"/>
          <w:lang w:bidi="ar"/>
        </w:rPr>
        <w:t xml:space="preserve"> </w:t>
      </w:r>
      <w:r>
        <w:rPr>
          <w:rFonts w:ascii="仿宋_GB2312" w:eastAsia="仿宋_GB2312" w:hAnsi="宋体" w:cs="仿宋_GB2312" w:hint="eastAsia"/>
          <w:color w:val="000000"/>
          <w:kern w:val="0"/>
          <w:sz w:val="32"/>
          <w:szCs w:val="32"/>
          <w:lang w:bidi="ar"/>
        </w:rPr>
        <w:t>申请电力市场调解，应符合下列条件：</w:t>
      </w:r>
    </w:p>
    <w:p>
      <w:pPr>
        <w:widowControl/>
        <w:spacing w:line="560" w:lineRule="exact"/>
        <w:ind w:firstLine="640" w:firstLineChars="200"/>
        <w:jc w:val="left"/>
        <w:rPr>
          <w:rFonts w:eastAsia="仿宋_GB2312" w:hint="eastAsia"/>
          <w:sz w:val="32"/>
          <w:szCs w:val="32"/>
        </w:rPr>
      </w:pPr>
      <w:r>
        <w:rPr>
          <w:rFonts w:ascii="仿宋_GB2312" w:eastAsia="仿宋_GB2312" w:hAnsi="宋体" w:cs="仿宋_GB2312" w:hint="eastAsia"/>
          <w:color w:val="000000"/>
          <w:kern w:val="0"/>
          <w:sz w:val="32"/>
          <w:szCs w:val="32"/>
          <w:lang w:bidi="ar"/>
        </w:rPr>
        <w:t>（一）申请人为市场争议的一方当事人</w:t>
      </w:r>
      <w:r>
        <w:rPr>
          <w:rFonts w:ascii="仿宋_GB2312" w:eastAsia="仿宋_GB2312" w:hAnsi="宋体" w:cs="仿宋_GB2312" w:hint="eastAsia"/>
          <w:color w:val="000000"/>
          <w:kern w:val="0"/>
          <w:sz w:val="32"/>
          <w:szCs w:val="32"/>
          <w:lang w:eastAsia="zh-CN" w:bidi="ar"/>
        </w:rPr>
        <w:t>。</w:t>
      </w:r>
    </w:p>
    <w:p>
      <w:pPr>
        <w:widowControl/>
        <w:spacing w:line="560" w:lineRule="exact"/>
        <w:ind w:firstLine="640" w:firstLineChars="200"/>
        <w:jc w:val="left"/>
        <w:rPr>
          <w:rFonts w:eastAsia="仿宋_GB2312" w:hint="eastAsia"/>
          <w:sz w:val="32"/>
          <w:szCs w:val="32"/>
        </w:rPr>
      </w:pPr>
      <w:r>
        <w:rPr>
          <w:rFonts w:ascii="仿宋_GB2312" w:eastAsia="仿宋_GB2312" w:hAnsi="宋体" w:cs="仿宋_GB2312" w:hint="eastAsia"/>
          <w:color w:val="000000"/>
          <w:kern w:val="0"/>
          <w:sz w:val="32"/>
          <w:szCs w:val="32"/>
          <w:lang w:bidi="ar"/>
        </w:rPr>
        <w:t>（二）有明确的被申请人，且被申请人同意调解</w:t>
      </w:r>
      <w:r>
        <w:rPr>
          <w:rFonts w:ascii="仿宋_GB2312" w:eastAsia="仿宋_GB2312" w:hAnsi="宋体" w:cs="仿宋_GB2312" w:hint="eastAsia"/>
          <w:color w:val="000000"/>
          <w:kern w:val="0"/>
          <w:sz w:val="32"/>
          <w:szCs w:val="32"/>
          <w:lang w:eastAsia="zh-CN" w:bidi="ar"/>
        </w:rPr>
        <w:t>。</w:t>
      </w:r>
    </w:p>
    <w:p>
      <w:pPr>
        <w:widowControl/>
        <w:spacing w:line="560" w:lineRule="exact"/>
        <w:ind w:firstLine="640" w:firstLineChars="200"/>
        <w:jc w:val="left"/>
        <w:rPr>
          <w:rFonts w:eastAsia="仿宋_GB2312" w:hint="eastAsia"/>
          <w:sz w:val="32"/>
          <w:szCs w:val="32"/>
        </w:rPr>
      </w:pPr>
      <w:r>
        <w:rPr>
          <w:rFonts w:ascii="仿宋_GB2312" w:eastAsia="仿宋_GB2312" w:hAnsi="宋体" w:cs="仿宋_GB2312" w:hint="eastAsia"/>
          <w:color w:val="000000"/>
          <w:kern w:val="0"/>
          <w:sz w:val="32"/>
          <w:szCs w:val="32"/>
          <w:lang w:bidi="ar"/>
        </w:rPr>
        <w:t>（三）有具体的调解请求、事实和理由</w:t>
      </w:r>
      <w:r>
        <w:rPr>
          <w:rFonts w:ascii="仿宋_GB2312" w:eastAsia="仿宋_GB2312" w:hAnsi="宋体" w:cs="仿宋_GB2312" w:hint="eastAsia"/>
          <w:color w:val="000000"/>
          <w:kern w:val="0"/>
          <w:sz w:val="32"/>
          <w:szCs w:val="32"/>
          <w:lang w:eastAsia="zh-CN" w:bidi="ar"/>
        </w:rPr>
        <w:t>。</w:t>
      </w:r>
    </w:p>
    <w:p>
      <w:pPr>
        <w:widowControl/>
        <w:spacing w:line="560" w:lineRule="exact"/>
        <w:ind w:firstLine="640" w:firstLineChars="200"/>
        <w:jc w:val="left"/>
        <w:rPr>
          <w:rFonts w:eastAsia="仿宋_GB2312" w:hint="eastAsia"/>
          <w:sz w:val="32"/>
          <w:szCs w:val="32"/>
        </w:rPr>
      </w:pPr>
      <w:r>
        <w:rPr>
          <w:rFonts w:ascii="仿宋_GB2312" w:eastAsia="仿宋_GB2312" w:hAnsi="宋体" w:cs="仿宋_GB2312" w:hint="eastAsia"/>
          <w:color w:val="000000"/>
          <w:kern w:val="0"/>
          <w:sz w:val="32"/>
          <w:szCs w:val="32"/>
          <w:lang w:bidi="ar"/>
        </w:rPr>
        <w:t>（四）未就争议事项提起仲裁或诉讼</w:t>
      </w:r>
      <w:r>
        <w:rPr>
          <w:rFonts w:ascii="仿宋_GB2312" w:eastAsia="仿宋_GB2312" w:hAnsi="宋体" w:cs="仿宋_GB2312" w:hint="eastAsia"/>
          <w:color w:val="000000"/>
          <w:kern w:val="0"/>
          <w:sz w:val="32"/>
          <w:szCs w:val="32"/>
          <w:lang w:eastAsia="zh-CN" w:bidi="ar"/>
        </w:rPr>
        <w:t>。</w:t>
      </w:r>
    </w:p>
    <w:p>
      <w:pPr>
        <w:widowControl/>
        <w:spacing w:line="560" w:lineRule="exact"/>
        <w:ind w:firstLine="640" w:firstLineChars="200"/>
        <w:jc w:val="left"/>
        <w:rPr>
          <w:sz w:val="32"/>
          <w:szCs w:val="32"/>
        </w:rPr>
      </w:pPr>
      <w:r>
        <w:rPr>
          <w:rFonts w:ascii="仿宋_GB2312" w:eastAsia="仿宋_GB2312" w:hAnsi="宋体" w:cs="仿宋_GB2312" w:hint="eastAsia"/>
          <w:color w:val="000000"/>
          <w:kern w:val="0"/>
          <w:sz w:val="32"/>
          <w:szCs w:val="32"/>
          <w:lang w:bidi="ar"/>
        </w:rPr>
        <w:t>（五）争议事项属于组织调解机构的职责范围。</w:t>
      </w:r>
    </w:p>
    <w:p>
      <w:pPr>
        <w:widowControl/>
        <w:spacing w:line="560" w:lineRule="exact"/>
        <w:ind w:firstLine="640" w:firstLineChars="200"/>
        <w:jc w:val="left"/>
        <w:rPr>
          <w:rFonts w:ascii="仿宋_GB2312" w:eastAsia="仿宋_GB2312" w:hAnsi="宋体" w:cs="仿宋_GB2312" w:hint="eastAsia"/>
          <w:color w:val="000000"/>
          <w:kern w:val="0"/>
          <w:sz w:val="32"/>
          <w:szCs w:val="32"/>
          <w:lang w:bidi="ar"/>
        </w:rPr>
      </w:pPr>
      <w:r>
        <w:rPr>
          <w:rFonts w:ascii="仿宋_GB2312" w:eastAsia="仿宋_GB2312" w:hAnsi="宋体" w:cs="仿宋_GB2312" w:hint="eastAsia"/>
          <w:b/>
          <w:bCs/>
          <w:color w:val="000000"/>
          <w:kern w:val="0"/>
          <w:sz w:val="32"/>
          <w:szCs w:val="32"/>
          <w:lang w:bidi="ar"/>
        </w:rPr>
        <w:t xml:space="preserve">第八条 </w:t>
      </w:r>
      <w:r>
        <w:rPr>
          <w:rFonts w:ascii="仿宋_GB2312" w:eastAsia="仿宋_GB2312" w:hAnsi="宋体" w:cs="仿宋_GB2312" w:hint="eastAsia"/>
          <w:color w:val="000000"/>
          <w:kern w:val="0"/>
          <w:sz w:val="32"/>
          <w:szCs w:val="32"/>
          <w:lang w:bidi="ar"/>
        </w:rPr>
        <w:t>争议申请具有以下情形之一的，不予受理：</w:t>
      </w:r>
    </w:p>
    <w:p>
      <w:pPr>
        <w:widowControl/>
        <w:spacing w:line="560" w:lineRule="exact"/>
        <w:ind w:firstLine="640" w:firstLineChars="200"/>
        <w:jc w:val="left"/>
        <w:rPr>
          <w:sz w:val="32"/>
          <w:szCs w:val="32"/>
        </w:rPr>
      </w:pPr>
      <w:r>
        <w:rPr>
          <w:rFonts w:ascii="仿宋_GB2312" w:eastAsia="仿宋_GB2312" w:hAnsi="宋体" w:cs="仿宋_GB2312" w:hint="eastAsia"/>
          <w:color w:val="000000"/>
          <w:kern w:val="0"/>
          <w:sz w:val="32"/>
          <w:szCs w:val="32"/>
          <w:lang w:bidi="ar"/>
        </w:rPr>
        <w:t>（一）单一被申请人明确拒绝协调的，或多个被申请人中存在明确拒绝协调申请的。</w:t>
      </w:r>
    </w:p>
    <w:p>
      <w:pPr>
        <w:widowControl/>
        <w:spacing w:line="560" w:lineRule="exact"/>
        <w:ind w:firstLine="640" w:firstLineChars="200"/>
        <w:jc w:val="left"/>
        <w:rPr>
          <w:sz w:val="32"/>
          <w:szCs w:val="32"/>
        </w:rPr>
      </w:pPr>
      <w:r>
        <w:rPr>
          <w:rFonts w:ascii="仿宋_GB2312" w:eastAsia="仿宋_GB2312" w:hAnsi="宋体" w:cs="仿宋_GB2312" w:hint="eastAsia"/>
          <w:color w:val="000000"/>
          <w:kern w:val="0"/>
          <w:sz w:val="32"/>
          <w:szCs w:val="32"/>
          <w:lang w:bidi="ar"/>
        </w:rPr>
        <w:t>（二）已就争议事项提起仲裁或诉讼的。</w:t>
      </w:r>
    </w:p>
    <w:p>
      <w:pPr>
        <w:widowControl/>
        <w:spacing w:line="560" w:lineRule="exact"/>
        <w:ind w:firstLine="640" w:firstLineChars="200"/>
        <w:jc w:val="left"/>
        <w:rPr>
          <w:sz w:val="32"/>
          <w:szCs w:val="32"/>
        </w:rPr>
      </w:pPr>
      <w:r>
        <w:rPr>
          <w:rFonts w:ascii="仿宋_GB2312" w:eastAsia="仿宋_GB2312" w:hAnsi="宋体" w:cs="仿宋_GB2312" w:hint="eastAsia"/>
          <w:color w:val="000000"/>
          <w:kern w:val="0"/>
          <w:sz w:val="32"/>
          <w:szCs w:val="32"/>
          <w:lang w:bidi="ar"/>
        </w:rPr>
        <w:t>（三）不属于规定的电力市场争议范围的。</w:t>
      </w:r>
    </w:p>
    <w:p>
      <w:pPr>
        <w:widowControl/>
        <w:spacing w:line="560" w:lineRule="exact"/>
        <w:ind w:firstLine="640" w:firstLineChars="200"/>
        <w:jc w:val="left"/>
        <w:rPr>
          <w:sz w:val="32"/>
          <w:szCs w:val="32"/>
        </w:rPr>
      </w:pPr>
      <w:r>
        <w:rPr>
          <w:rFonts w:ascii="仿宋_GB2312" w:eastAsia="仿宋_GB2312" w:hAnsi="宋体" w:cs="仿宋_GB2312" w:hint="eastAsia"/>
          <w:color w:val="000000"/>
          <w:kern w:val="0"/>
          <w:sz w:val="32"/>
          <w:szCs w:val="32"/>
          <w:lang w:bidi="ar"/>
        </w:rPr>
        <w:t>（四）未按规定顺序申请协调的。</w:t>
      </w:r>
    </w:p>
    <w:p>
      <w:pPr>
        <w:widowControl/>
        <w:spacing w:line="560" w:lineRule="exact"/>
        <w:ind w:firstLine="640" w:firstLineChars="200"/>
        <w:jc w:val="left"/>
        <w:rPr>
          <w:sz w:val="32"/>
          <w:szCs w:val="32"/>
        </w:rPr>
      </w:pPr>
      <w:r>
        <w:rPr>
          <w:rFonts w:ascii="仿宋_GB2312" w:eastAsia="仿宋_GB2312" w:hAnsi="宋体" w:cs="仿宋_GB2312" w:hint="eastAsia"/>
          <w:b/>
          <w:bCs/>
          <w:color w:val="000000"/>
          <w:kern w:val="0"/>
          <w:sz w:val="32"/>
          <w:szCs w:val="32"/>
          <w:lang w:bidi="ar"/>
        </w:rPr>
        <w:t xml:space="preserve">第九条 </w:t>
      </w:r>
      <w:r>
        <w:rPr>
          <w:rFonts w:ascii="仿宋_GB2312" w:eastAsia="仿宋_GB2312" w:hAnsi="宋体" w:cs="仿宋_GB2312" w:hint="eastAsia"/>
          <w:color w:val="000000"/>
          <w:kern w:val="0"/>
          <w:sz w:val="32"/>
          <w:szCs w:val="32"/>
          <w:lang w:bidi="ar"/>
        </w:rPr>
        <w:t>申请争议协调的，申请人应当提交书面申请和有关证据材料。申请书</w:t>
      </w:r>
      <w:r>
        <w:rPr>
          <w:rFonts w:ascii="仿宋_GB2312" w:eastAsia="仿宋_GB2312" w:hAnsi="宋体" w:cs="仿宋_GB2312" w:hint="eastAsia"/>
          <w:b/>
          <w:bCs/>
          <w:color w:val="000000"/>
          <w:kern w:val="0"/>
          <w:sz w:val="32"/>
          <w:szCs w:val="32"/>
          <w:lang w:bidi="ar"/>
        </w:rPr>
        <w:t>（模板见附件1）</w:t>
      </w:r>
      <w:r>
        <w:rPr>
          <w:rFonts w:ascii="仿宋_GB2312" w:eastAsia="仿宋_GB2312" w:hAnsi="宋体" w:cs="仿宋_GB2312" w:hint="eastAsia"/>
          <w:color w:val="000000"/>
          <w:kern w:val="0"/>
          <w:sz w:val="32"/>
          <w:szCs w:val="32"/>
          <w:lang w:bidi="ar"/>
        </w:rPr>
        <w:t>应载明当事人基本信息、争议事项、具体要求、事实及理由、相关证据等，同时说明前一级协调情况（如有）。</w:t>
      </w:r>
    </w:p>
    <w:p>
      <w:pPr>
        <w:widowControl/>
        <w:spacing w:line="560" w:lineRule="exact"/>
        <w:ind w:firstLine="640" w:firstLineChars="200"/>
        <w:jc w:val="left"/>
        <w:rPr>
          <w:sz w:val="32"/>
          <w:szCs w:val="32"/>
        </w:rPr>
      </w:pPr>
      <w:r>
        <w:rPr>
          <w:rFonts w:ascii="仿宋_GB2312" w:eastAsia="仿宋_GB2312" w:hAnsi="宋体" w:cs="仿宋_GB2312" w:hint="eastAsia"/>
          <w:b/>
          <w:bCs/>
          <w:color w:val="000000"/>
          <w:kern w:val="0"/>
          <w:sz w:val="32"/>
          <w:szCs w:val="32"/>
          <w:lang w:bidi="ar"/>
        </w:rPr>
        <w:t xml:space="preserve">第十条 </w:t>
      </w:r>
      <w:r>
        <w:rPr>
          <w:rFonts w:ascii="仿宋_GB2312" w:eastAsia="仿宋_GB2312" w:hAnsi="宋体" w:cs="仿宋_GB2312" w:hint="eastAsia"/>
          <w:color w:val="000000"/>
          <w:kern w:val="0"/>
          <w:sz w:val="32"/>
          <w:szCs w:val="32"/>
          <w:lang w:bidi="ar"/>
        </w:rPr>
        <w:t>市场管理委员会秘书处统一受理市场争议协调申请。联系邮箱：hndlgwh@163.com。</w:t>
      </w:r>
    </w:p>
    <w:p>
      <w:pPr>
        <w:widowControl/>
        <w:spacing w:line="560" w:lineRule="exact"/>
        <w:ind w:firstLine="640" w:firstLineChars="200"/>
        <w:jc w:val="left"/>
        <w:rPr>
          <w:sz w:val="32"/>
          <w:szCs w:val="32"/>
        </w:rPr>
      </w:pPr>
      <w:r>
        <w:rPr>
          <w:rFonts w:ascii="仿宋_GB2312" w:eastAsia="仿宋_GB2312" w:hAnsi="宋体" w:cs="仿宋_GB2312" w:hint="eastAsia"/>
          <w:color w:val="000000"/>
          <w:kern w:val="0"/>
          <w:sz w:val="32"/>
          <w:szCs w:val="32"/>
          <w:lang w:bidi="ar"/>
        </w:rPr>
        <w:t>（一）市场管理委员会秘书处收到申请书后，应当在2个工作日内，将信息转交当事人明确的协调机构。</w:t>
      </w:r>
    </w:p>
    <w:p>
      <w:pPr>
        <w:widowControl/>
        <w:spacing w:line="560" w:lineRule="exact"/>
        <w:ind w:firstLine="640" w:firstLineChars="200"/>
        <w:jc w:val="left"/>
        <w:rPr>
          <w:rFonts w:ascii="仿宋_GB2312" w:eastAsia="仿宋_GB2312" w:hAnsi="宋体" w:cs="仿宋_GB2312" w:hint="eastAsia"/>
          <w:color w:val="000000"/>
          <w:kern w:val="0"/>
          <w:sz w:val="32"/>
          <w:szCs w:val="32"/>
          <w:lang w:bidi="ar"/>
        </w:rPr>
      </w:pPr>
      <w:r>
        <w:rPr>
          <w:rFonts w:ascii="仿宋_GB2312" w:eastAsia="仿宋_GB2312" w:hAnsi="宋体" w:cs="仿宋_GB2312" w:hint="eastAsia"/>
          <w:color w:val="000000"/>
          <w:kern w:val="0"/>
          <w:sz w:val="32"/>
          <w:szCs w:val="32"/>
          <w:lang w:bidi="ar"/>
        </w:rPr>
        <w:t>（二）经协调机构审查，认为符合条件的，应当在5个工作日内受理并通知当事人；对决定不予受理的，应当书面通知当事人，并说明理由</w:t>
      </w:r>
      <w:r>
        <w:rPr>
          <w:rFonts w:ascii="仿宋_GB2312" w:eastAsia="仿宋_GB2312" w:hAnsi="宋体" w:cs="仿宋_GB2312" w:hint="eastAsia"/>
          <w:b/>
          <w:bCs/>
          <w:color w:val="000000"/>
          <w:kern w:val="0"/>
          <w:sz w:val="32"/>
          <w:szCs w:val="32"/>
          <w:lang w:bidi="ar"/>
        </w:rPr>
        <w:t>（通知书模板见附件2）</w:t>
      </w:r>
      <w:r>
        <w:rPr>
          <w:rFonts w:ascii="仿宋_GB2312" w:eastAsia="仿宋_GB2312" w:hAnsi="宋体" w:cs="仿宋_GB2312" w:hint="eastAsia"/>
          <w:color w:val="000000"/>
          <w:kern w:val="0"/>
          <w:sz w:val="32"/>
          <w:szCs w:val="32"/>
          <w:lang w:bidi="ar"/>
        </w:rPr>
        <w:t>。</w:t>
      </w:r>
    </w:p>
    <w:p>
      <w:pPr>
        <w:widowControl/>
        <w:spacing w:line="560" w:lineRule="exact"/>
        <w:ind w:firstLine="640" w:firstLineChars="200"/>
        <w:jc w:val="left"/>
        <w:rPr>
          <w:rFonts w:ascii="仿宋_GB2312" w:eastAsia="仿宋_GB2312" w:hAnsi="宋体" w:cs="仿宋_GB2312" w:hint="eastAsia"/>
          <w:color w:val="000000"/>
          <w:kern w:val="0"/>
          <w:sz w:val="32"/>
          <w:szCs w:val="32"/>
          <w:lang w:bidi="ar"/>
        </w:rPr>
      </w:pPr>
    </w:p>
    <w:p>
      <w:pPr>
        <w:widowControl/>
        <w:spacing w:line="560" w:lineRule="exact"/>
        <w:ind w:firstLine="640" w:firstLineChars="200"/>
        <w:jc w:val="center"/>
        <w:rPr>
          <w:sz w:val="32"/>
          <w:szCs w:val="32"/>
        </w:rPr>
      </w:pPr>
      <w:r>
        <w:rPr>
          <w:rFonts w:ascii="黑体" w:eastAsia="黑体" w:hAnsi="宋体" w:cs="黑体" w:hint="eastAsia"/>
          <w:color w:val="000000"/>
          <w:kern w:val="0"/>
          <w:sz w:val="32"/>
          <w:szCs w:val="32"/>
          <w:lang w:bidi="ar"/>
        </w:rPr>
        <w:t>第四章 争议协调流程</w:t>
      </w:r>
    </w:p>
    <w:p>
      <w:pPr>
        <w:widowControl/>
        <w:spacing w:line="560" w:lineRule="exact"/>
        <w:ind w:firstLine="640" w:firstLineChars="200"/>
        <w:jc w:val="left"/>
        <w:rPr>
          <w:sz w:val="32"/>
          <w:szCs w:val="32"/>
        </w:rPr>
      </w:pPr>
      <w:r>
        <w:rPr>
          <w:rFonts w:ascii="仿宋_GB2312" w:eastAsia="仿宋_GB2312" w:hAnsi="宋体" w:cs="仿宋_GB2312" w:hint="eastAsia"/>
          <w:b/>
          <w:bCs/>
          <w:color w:val="000000"/>
          <w:kern w:val="0"/>
          <w:sz w:val="32"/>
          <w:szCs w:val="32"/>
          <w:lang w:bidi="ar"/>
        </w:rPr>
        <w:t xml:space="preserve">第十一条 </w:t>
      </w:r>
      <w:r>
        <w:rPr>
          <w:rFonts w:ascii="仿宋_GB2312" w:eastAsia="仿宋_GB2312" w:hAnsi="宋体" w:cs="仿宋_GB2312" w:hint="eastAsia"/>
          <w:color w:val="000000"/>
          <w:kern w:val="0"/>
          <w:sz w:val="32"/>
          <w:szCs w:val="32"/>
          <w:lang w:bidi="ar"/>
        </w:rPr>
        <w:t>协调机构应逐步建立和完善市场争议调解员</w:t>
      </w:r>
      <w:r>
        <w:rPr>
          <w:rFonts w:ascii="仿宋_GB2312" w:eastAsia="仿宋_GB2312" w:hAnsi="宋体" w:cs="仿宋_GB2312" w:hint="eastAsia"/>
          <w:color w:val="000000"/>
          <w:kern w:val="0"/>
          <w:sz w:val="32"/>
          <w:szCs w:val="32"/>
          <w:lang w:val="en-US" w:eastAsia="zh-CN" w:bidi="ar"/>
        </w:rPr>
        <w:t>储备</w:t>
      </w:r>
      <w:r>
        <w:rPr>
          <w:rFonts w:ascii="仿宋_GB2312" w:eastAsia="仿宋_GB2312" w:hAnsi="宋体" w:cs="仿宋_GB2312" w:hint="eastAsia"/>
          <w:color w:val="000000"/>
          <w:kern w:val="0"/>
          <w:sz w:val="32"/>
          <w:szCs w:val="32"/>
          <w:lang w:bidi="ar"/>
        </w:rPr>
        <w:t>库。调解员需熟悉国家法律法规、电力市场相关规则，且必须忠于职守，依法办事，公正廉洁，不得利用工作便利牟取不正当利益。协调机构在开展争议协调工作时，一般由3名调解员组成协调工作小组，原则上从市场争议调解员储备库中抽取。</w:t>
      </w:r>
    </w:p>
    <w:p>
      <w:pPr>
        <w:widowControl/>
        <w:spacing w:line="560" w:lineRule="exact"/>
        <w:ind w:firstLine="640" w:firstLineChars="200"/>
        <w:jc w:val="left"/>
        <w:rPr>
          <w:sz w:val="32"/>
          <w:szCs w:val="32"/>
        </w:rPr>
      </w:pPr>
      <w:r>
        <w:rPr>
          <w:rFonts w:ascii="仿宋_GB2312" w:eastAsia="仿宋_GB2312" w:hAnsi="宋体" w:cs="仿宋_GB2312" w:hint="eastAsia"/>
          <w:color w:val="000000"/>
          <w:kern w:val="0"/>
          <w:sz w:val="32"/>
          <w:szCs w:val="32"/>
          <w:lang w:bidi="ar"/>
        </w:rPr>
        <w:t>（一）运营机构组织调解的，由争议事项相关业务部门牵头成立协调工作小组。</w:t>
      </w:r>
    </w:p>
    <w:p>
      <w:pPr>
        <w:widowControl/>
        <w:spacing w:line="560" w:lineRule="exact"/>
        <w:ind w:firstLine="640" w:firstLineChars="200"/>
        <w:rPr>
          <w:sz w:val="32"/>
          <w:szCs w:val="32"/>
        </w:rPr>
      </w:pPr>
      <w:r>
        <w:rPr>
          <w:rFonts w:ascii="仿宋_GB2312" w:eastAsia="仿宋_GB2312" w:hAnsi="宋体" w:cs="仿宋_GB2312" w:hint="eastAsia"/>
          <w:color w:val="000000"/>
          <w:kern w:val="0"/>
          <w:sz w:val="32"/>
          <w:szCs w:val="32"/>
          <w:lang w:bidi="ar"/>
        </w:rPr>
        <w:t>（二）市场管理委员会组织调解的，由市场管理委员会秘书处联系市场管理委员会成员单位选派调解员成立协调工作小组。</w:t>
      </w:r>
    </w:p>
    <w:p>
      <w:pPr>
        <w:widowControl/>
        <w:spacing w:line="560" w:lineRule="exact"/>
        <w:ind w:firstLine="640" w:firstLineChars="200"/>
        <w:jc w:val="left"/>
        <w:rPr>
          <w:sz w:val="32"/>
          <w:szCs w:val="32"/>
        </w:rPr>
      </w:pPr>
      <w:r>
        <w:rPr>
          <w:rFonts w:ascii="仿宋_GB2312" w:eastAsia="仿宋_GB2312" w:hAnsi="宋体" w:cs="仿宋_GB2312" w:hint="eastAsia"/>
          <w:b/>
          <w:bCs/>
          <w:color w:val="000000"/>
          <w:kern w:val="0"/>
          <w:sz w:val="32"/>
          <w:szCs w:val="32"/>
          <w:lang w:bidi="ar"/>
        </w:rPr>
        <w:t xml:space="preserve">第十二条 </w:t>
      </w:r>
      <w:r>
        <w:rPr>
          <w:rFonts w:ascii="仿宋_GB2312" w:eastAsia="仿宋_GB2312" w:hAnsi="宋体" w:cs="仿宋_GB2312" w:hint="eastAsia"/>
          <w:color w:val="000000"/>
          <w:kern w:val="0"/>
          <w:sz w:val="32"/>
          <w:szCs w:val="32"/>
          <w:lang w:bidi="ar"/>
        </w:rPr>
        <w:t>当事人认为调解员与电力争议有利害关系或者其他关系可能影响公正调解的，有权以口头或者书面方式申请其回避；调解员认为自己与电力争议有利害关系或者其他关系可能影响公正调解的，应当自行申请回避。调解员是否回避，由相应协调机构在收到回避申请后3个工作日内作出决定，回避后另行选任调解员。</w:t>
      </w:r>
    </w:p>
    <w:p>
      <w:pPr>
        <w:widowControl/>
        <w:spacing w:line="560" w:lineRule="exact"/>
        <w:ind w:firstLine="640" w:firstLineChars="200"/>
        <w:jc w:val="left"/>
        <w:rPr>
          <w:rFonts w:ascii="仿宋_GB2312" w:eastAsia="仿宋_GB2312" w:hAnsi="宋体" w:cs="仿宋_GB2312" w:hint="eastAsia"/>
          <w:color w:val="000000"/>
          <w:kern w:val="0"/>
          <w:sz w:val="32"/>
          <w:szCs w:val="32"/>
          <w:lang w:bidi="ar"/>
        </w:rPr>
      </w:pPr>
      <w:r>
        <w:rPr>
          <w:rFonts w:ascii="仿宋_GB2312" w:eastAsia="仿宋_GB2312" w:hAnsi="宋体" w:cs="仿宋_GB2312" w:hint="eastAsia"/>
          <w:b/>
          <w:bCs/>
          <w:color w:val="000000"/>
          <w:kern w:val="0"/>
          <w:sz w:val="32"/>
          <w:szCs w:val="32"/>
          <w:lang w:bidi="ar"/>
        </w:rPr>
        <w:t xml:space="preserve">第十三条 </w:t>
      </w:r>
      <w:r>
        <w:rPr>
          <w:rFonts w:ascii="仿宋_GB2312" w:eastAsia="仿宋_GB2312" w:hAnsi="宋体" w:cs="仿宋_GB2312" w:hint="eastAsia"/>
          <w:color w:val="000000"/>
          <w:kern w:val="0"/>
          <w:sz w:val="32"/>
          <w:szCs w:val="32"/>
          <w:lang w:bidi="ar"/>
        </w:rPr>
        <w:t>协调工作小组开展电力市场争议协调工作，应当提前5日书面通知当事人协调方式、地点和时间等。协调方式可通过会议（现场会议和线上会议）、现场访谈等方式开展。涉及第三人的，应当通知第三人参加。</w:t>
      </w:r>
    </w:p>
    <w:p>
      <w:pPr>
        <w:widowControl/>
        <w:spacing w:line="560" w:lineRule="exact"/>
        <w:ind w:firstLine="640" w:firstLineChars="200"/>
        <w:jc w:val="left"/>
        <w:rPr>
          <w:sz w:val="32"/>
          <w:szCs w:val="32"/>
        </w:rPr>
      </w:pPr>
      <w:r>
        <w:rPr>
          <w:rFonts w:ascii="仿宋_GB2312" w:eastAsia="仿宋_GB2312" w:hAnsi="宋体" w:cs="仿宋_GB2312" w:hint="eastAsia"/>
          <w:b/>
          <w:bCs/>
          <w:color w:val="000000"/>
          <w:kern w:val="0"/>
          <w:sz w:val="32"/>
          <w:szCs w:val="32"/>
          <w:lang w:bidi="ar"/>
        </w:rPr>
        <w:t xml:space="preserve">第十四条 </w:t>
      </w:r>
      <w:r>
        <w:rPr>
          <w:rFonts w:ascii="仿宋_GB2312" w:eastAsia="仿宋_GB2312" w:hAnsi="宋体" w:cs="仿宋_GB2312" w:hint="eastAsia"/>
          <w:color w:val="000000"/>
          <w:kern w:val="0"/>
          <w:sz w:val="32"/>
          <w:szCs w:val="32"/>
          <w:lang w:bidi="ar"/>
        </w:rPr>
        <w:t>当事人应当对自己的主张提供证据，对相关证据的真实性和合法性负责，并且确保提供的证据与协调事项直接相关。</w:t>
      </w:r>
    </w:p>
    <w:p>
      <w:pPr>
        <w:widowControl/>
        <w:spacing w:line="560" w:lineRule="exact"/>
        <w:ind w:firstLine="640" w:firstLineChars="200"/>
        <w:jc w:val="left"/>
        <w:rPr>
          <w:sz w:val="32"/>
          <w:szCs w:val="32"/>
        </w:rPr>
      </w:pPr>
      <w:r>
        <w:rPr>
          <w:rFonts w:ascii="仿宋_GB2312" w:eastAsia="仿宋_GB2312" w:hAnsi="宋体" w:cs="仿宋_GB2312" w:hint="eastAsia"/>
          <w:b/>
          <w:bCs/>
          <w:color w:val="000000"/>
          <w:kern w:val="0"/>
          <w:sz w:val="32"/>
          <w:szCs w:val="32"/>
          <w:lang w:bidi="ar"/>
        </w:rPr>
        <w:t xml:space="preserve">第十五条 </w:t>
      </w:r>
      <w:r>
        <w:rPr>
          <w:rFonts w:ascii="仿宋_GB2312" w:eastAsia="仿宋_GB2312" w:hAnsi="宋体" w:cs="仿宋_GB2312" w:hint="eastAsia"/>
          <w:color w:val="000000"/>
          <w:kern w:val="0"/>
          <w:sz w:val="32"/>
          <w:szCs w:val="32"/>
          <w:lang w:bidi="ar"/>
        </w:rPr>
        <w:t>在电力争议事实难以认定时，协调机构可以邀请与电力争议各方无利害关系的市场管理委员会专家委员会委、法律专家、行业专家等提供咨询建议。</w:t>
      </w:r>
    </w:p>
    <w:p>
      <w:pPr>
        <w:widowControl/>
        <w:spacing w:line="560" w:lineRule="exact"/>
        <w:ind w:firstLine="640" w:firstLineChars="200"/>
        <w:jc w:val="left"/>
        <w:rPr>
          <w:sz w:val="32"/>
          <w:szCs w:val="32"/>
        </w:rPr>
      </w:pPr>
      <w:r>
        <w:rPr>
          <w:rFonts w:ascii="仿宋_GB2312" w:eastAsia="仿宋_GB2312" w:hAnsi="宋体" w:cs="仿宋_GB2312" w:hint="eastAsia"/>
          <w:b/>
          <w:bCs/>
          <w:color w:val="000000"/>
          <w:kern w:val="0"/>
          <w:sz w:val="32"/>
          <w:szCs w:val="32"/>
          <w:lang w:bidi="ar"/>
        </w:rPr>
        <w:t xml:space="preserve">第十六条 </w:t>
      </w:r>
      <w:r>
        <w:rPr>
          <w:rFonts w:ascii="仿宋_GB2312" w:eastAsia="仿宋_GB2312" w:hAnsi="宋体" w:cs="仿宋_GB2312" w:hint="eastAsia"/>
          <w:color w:val="000000"/>
          <w:kern w:val="0"/>
          <w:sz w:val="32"/>
          <w:szCs w:val="32"/>
          <w:lang w:bidi="ar"/>
        </w:rPr>
        <w:t>争议协调过程中，存在以下情况之一的，协调工作小组应当终止协调工作，并报送协调机构：</w:t>
      </w:r>
    </w:p>
    <w:p>
      <w:pPr>
        <w:widowControl/>
        <w:spacing w:line="560" w:lineRule="exact"/>
        <w:ind w:firstLine="640" w:firstLineChars="200"/>
        <w:jc w:val="left"/>
        <w:rPr>
          <w:sz w:val="32"/>
          <w:szCs w:val="32"/>
        </w:rPr>
      </w:pPr>
      <w:r>
        <w:rPr>
          <w:rFonts w:ascii="仿宋_GB2312" w:eastAsia="仿宋_GB2312" w:hAnsi="宋体" w:cs="仿宋_GB2312" w:hint="eastAsia"/>
          <w:color w:val="000000"/>
          <w:kern w:val="0"/>
          <w:sz w:val="32"/>
          <w:szCs w:val="32"/>
          <w:lang w:bidi="ar"/>
        </w:rPr>
        <w:t>（一）一方无正当理由缺席或者以其他方式表明退出协调的。</w:t>
      </w:r>
    </w:p>
    <w:p>
      <w:pPr>
        <w:widowControl/>
        <w:spacing w:line="560" w:lineRule="exact"/>
        <w:ind w:firstLine="640" w:firstLineChars="200"/>
        <w:jc w:val="left"/>
        <w:rPr>
          <w:sz w:val="32"/>
          <w:szCs w:val="32"/>
        </w:rPr>
      </w:pPr>
      <w:r>
        <w:rPr>
          <w:rFonts w:ascii="仿宋_GB2312" w:eastAsia="仿宋_GB2312" w:hAnsi="宋体" w:cs="仿宋_GB2312" w:hint="eastAsia"/>
          <w:color w:val="000000"/>
          <w:kern w:val="0"/>
          <w:sz w:val="32"/>
          <w:szCs w:val="32"/>
          <w:lang w:bidi="ar"/>
        </w:rPr>
        <w:t>（二）当事人隐瞒重要事实、提供虚假情况的。</w:t>
      </w:r>
    </w:p>
    <w:p>
      <w:pPr>
        <w:widowControl/>
        <w:spacing w:line="560" w:lineRule="exact"/>
        <w:ind w:firstLine="640" w:firstLineChars="200"/>
        <w:jc w:val="left"/>
        <w:rPr>
          <w:sz w:val="32"/>
          <w:szCs w:val="32"/>
        </w:rPr>
      </w:pPr>
      <w:r>
        <w:rPr>
          <w:rFonts w:ascii="仿宋_GB2312" w:eastAsia="仿宋_GB2312" w:hAnsi="宋体" w:cs="仿宋_GB2312" w:hint="eastAsia"/>
          <w:color w:val="000000"/>
          <w:kern w:val="0"/>
          <w:sz w:val="32"/>
          <w:szCs w:val="32"/>
          <w:lang w:bidi="ar"/>
        </w:rPr>
        <w:t>（三）已就争议事项提起仲裁或诉讼的。</w:t>
      </w:r>
    </w:p>
    <w:p>
      <w:pPr>
        <w:widowControl/>
        <w:spacing w:line="560" w:lineRule="exact"/>
        <w:ind w:firstLine="640" w:firstLineChars="200"/>
        <w:jc w:val="left"/>
        <w:rPr>
          <w:sz w:val="32"/>
          <w:szCs w:val="32"/>
        </w:rPr>
      </w:pPr>
      <w:r>
        <w:rPr>
          <w:rFonts w:ascii="仿宋_GB2312" w:eastAsia="仿宋_GB2312" w:hAnsi="宋体" w:cs="仿宋_GB2312" w:hint="eastAsia"/>
          <w:color w:val="000000"/>
          <w:kern w:val="0"/>
          <w:sz w:val="32"/>
          <w:szCs w:val="32"/>
          <w:lang w:bidi="ar"/>
        </w:rPr>
        <w:t>（四）争议协调结果影响第三人利益，且第三人不同意争议协调结果的。</w:t>
      </w:r>
    </w:p>
    <w:p>
      <w:pPr>
        <w:widowControl/>
        <w:spacing w:line="560" w:lineRule="exact"/>
        <w:ind w:firstLine="640" w:firstLineChars="200"/>
        <w:jc w:val="left"/>
        <w:rPr>
          <w:sz w:val="32"/>
          <w:szCs w:val="32"/>
        </w:rPr>
      </w:pPr>
      <w:r>
        <w:rPr>
          <w:rFonts w:ascii="仿宋_GB2312" w:eastAsia="仿宋_GB2312" w:hAnsi="宋体" w:cs="仿宋_GB2312" w:hint="eastAsia"/>
          <w:color w:val="000000"/>
          <w:kern w:val="0"/>
          <w:sz w:val="32"/>
          <w:szCs w:val="32"/>
          <w:lang w:bidi="ar"/>
        </w:rPr>
        <w:t>（五）影响协调工作开展的其他情况。</w:t>
      </w:r>
    </w:p>
    <w:p>
      <w:pPr>
        <w:widowControl/>
        <w:spacing w:line="560" w:lineRule="exact"/>
        <w:ind w:firstLine="640" w:firstLineChars="200"/>
        <w:jc w:val="left"/>
        <w:rPr>
          <w:sz w:val="32"/>
          <w:szCs w:val="32"/>
        </w:rPr>
      </w:pPr>
      <w:r>
        <w:rPr>
          <w:rFonts w:ascii="仿宋_GB2312" w:eastAsia="仿宋_GB2312" w:hAnsi="宋体" w:cs="仿宋_GB2312" w:hint="eastAsia"/>
          <w:b/>
          <w:bCs/>
          <w:color w:val="000000"/>
          <w:kern w:val="0"/>
          <w:sz w:val="32"/>
          <w:szCs w:val="32"/>
          <w:lang w:bidi="ar"/>
        </w:rPr>
        <w:t xml:space="preserve">第十七条 </w:t>
      </w:r>
      <w:r>
        <w:rPr>
          <w:rFonts w:ascii="仿宋_GB2312" w:eastAsia="仿宋_GB2312" w:hAnsi="宋体" w:cs="仿宋_GB2312" w:hint="eastAsia"/>
          <w:color w:val="000000"/>
          <w:kern w:val="0"/>
          <w:sz w:val="32"/>
          <w:szCs w:val="32"/>
          <w:lang w:bidi="ar"/>
        </w:rPr>
        <w:t>协调工作小组做好协调工作记录、档案整理和保管，在协调工作结束后将协调工作过程及结果资料移交归口部门存档，其中市场管理委员会开展协调工作的档案资料由市场管理委员会秘书处统一保管。</w:t>
      </w:r>
    </w:p>
    <w:p>
      <w:pPr>
        <w:widowControl/>
        <w:spacing w:line="560" w:lineRule="exact"/>
        <w:ind w:firstLine="640" w:firstLineChars="200"/>
        <w:jc w:val="left"/>
        <w:rPr>
          <w:sz w:val="32"/>
          <w:szCs w:val="32"/>
        </w:rPr>
      </w:pPr>
      <w:r>
        <w:rPr>
          <w:rFonts w:ascii="仿宋_GB2312" w:eastAsia="仿宋_GB2312" w:hAnsi="宋体" w:cs="仿宋_GB2312" w:hint="eastAsia"/>
          <w:color w:val="000000"/>
          <w:kern w:val="0"/>
          <w:sz w:val="32"/>
          <w:szCs w:val="32"/>
          <w:lang w:bidi="ar"/>
        </w:rPr>
        <w:t>（一）争议协调达成共识的，协调机构出具协调工作记录文书。协调工作记录文书可以是协议、会议纪要等；应当包括当事人基本信息、争议事项、争议事实、协调结果等事项；应当由协调工作人员、当事人签名或盖章，并及时送达当事人。当事人应遵守协调结果约定。</w:t>
      </w:r>
    </w:p>
    <w:p>
      <w:pPr>
        <w:widowControl/>
        <w:spacing w:line="560" w:lineRule="exact"/>
        <w:ind w:firstLine="640" w:firstLineChars="200"/>
        <w:jc w:val="left"/>
        <w:rPr>
          <w:sz w:val="32"/>
          <w:szCs w:val="32"/>
        </w:rPr>
      </w:pPr>
      <w:r>
        <w:rPr>
          <w:rFonts w:ascii="仿宋_GB2312" w:eastAsia="仿宋_GB2312" w:hAnsi="宋体" w:cs="仿宋_GB2312" w:hint="eastAsia"/>
          <w:color w:val="000000"/>
          <w:kern w:val="0"/>
          <w:sz w:val="32"/>
          <w:szCs w:val="32"/>
          <w:lang w:bidi="ar"/>
        </w:rPr>
        <w:t>（二）在协调期限内组织两次协调仍达不成共识的，协调工作终结。</w:t>
      </w:r>
    </w:p>
    <w:p>
      <w:pPr>
        <w:widowControl/>
        <w:spacing w:line="560" w:lineRule="exact"/>
        <w:ind w:firstLine="640" w:firstLineChars="200"/>
        <w:jc w:val="left"/>
        <w:rPr>
          <w:sz w:val="32"/>
          <w:szCs w:val="32"/>
        </w:rPr>
      </w:pPr>
      <w:r>
        <w:rPr>
          <w:rFonts w:ascii="仿宋_GB2312" w:eastAsia="仿宋_GB2312" w:hAnsi="宋体" w:cs="仿宋_GB2312" w:hint="eastAsia"/>
          <w:b/>
          <w:bCs/>
          <w:color w:val="000000"/>
          <w:kern w:val="0"/>
          <w:sz w:val="32"/>
          <w:szCs w:val="32"/>
          <w:lang w:bidi="ar"/>
        </w:rPr>
        <w:t xml:space="preserve">第十八条 </w:t>
      </w:r>
      <w:r>
        <w:rPr>
          <w:rFonts w:ascii="仿宋_GB2312" w:eastAsia="仿宋_GB2312" w:hAnsi="宋体" w:cs="仿宋_GB2312" w:hint="eastAsia"/>
          <w:color w:val="000000"/>
          <w:kern w:val="0"/>
          <w:sz w:val="32"/>
          <w:szCs w:val="32"/>
          <w:lang w:bidi="ar"/>
        </w:rPr>
        <w:t>参与争议协调工作的所有人员，均应依法保守在协调工作中获悉的商业秘密、个人隐私以及可能损害他人利益的信息，不得擅自扩大相关信息的知情范围。</w:t>
      </w:r>
    </w:p>
    <w:p>
      <w:pPr>
        <w:widowControl/>
        <w:spacing w:line="560" w:lineRule="exact"/>
        <w:ind w:firstLine="640" w:firstLineChars="200"/>
        <w:jc w:val="left"/>
        <w:rPr>
          <w:sz w:val="32"/>
          <w:szCs w:val="32"/>
        </w:rPr>
      </w:pPr>
      <w:r>
        <w:rPr>
          <w:rFonts w:ascii="仿宋_GB2312" w:eastAsia="仿宋_GB2312" w:hAnsi="宋体" w:cs="仿宋_GB2312" w:hint="eastAsia"/>
          <w:b/>
          <w:bCs/>
          <w:color w:val="000000"/>
          <w:kern w:val="0"/>
          <w:sz w:val="32"/>
          <w:szCs w:val="32"/>
          <w:lang w:bidi="ar"/>
        </w:rPr>
        <w:t xml:space="preserve">第十九条 </w:t>
      </w:r>
      <w:r>
        <w:rPr>
          <w:rFonts w:ascii="仿宋_GB2312" w:eastAsia="仿宋_GB2312" w:hAnsi="宋体" w:cs="仿宋_GB2312" w:hint="eastAsia"/>
          <w:color w:val="000000"/>
          <w:kern w:val="0"/>
          <w:sz w:val="32"/>
          <w:szCs w:val="32"/>
          <w:lang w:bidi="ar"/>
        </w:rPr>
        <w:t>协调工作应当自受理之日起三个月内协调终结（含法定节假日）。</w:t>
      </w:r>
    </w:p>
    <w:p>
      <w:pPr>
        <w:widowControl/>
        <w:spacing w:line="560" w:lineRule="exact"/>
        <w:ind w:firstLine="640" w:firstLineChars="200"/>
        <w:jc w:val="left"/>
        <w:rPr>
          <w:sz w:val="32"/>
          <w:szCs w:val="32"/>
        </w:rPr>
      </w:pPr>
      <w:r>
        <w:rPr>
          <w:rFonts w:ascii="仿宋_GB2312" w:eastAsia="仿宋_GB2312" w:hAnsi="宋体" w:cs="仿宋_GB2312" w:hint="eastAsia"/>
          <w:b/>
          <w:bCs/>
          <w:kern w:val="0"/>
          <w:sz w:val="32"/>
          <w:szCs w:val="32"/>
          <w:lang w:bidi="ar"/>
        </w:rPr>
        <w:t xml:space="preserve">第二十条 </w:t>
      </w:r>
      <w:r>
        <w:rPr>
          <w:rFonts w:ascii="仿宋_GB2312" w:eastAsia="仿宋_GB2312" w:hAnsi="宋体" w:cs="仿宋_GB2312" w:hint="eastAsia"/>
          <w:kern w:val="0"/>
          <w:sz w:val="32"/>
          <w:szCs w:val="32"/>
          <w:lang w:bidi="ar"/>
        </w:rPr>
        <w:t>争议协调工作接受国家能源局南方监管局、海南省发展和改革委员会的指导与监督，市场管理委员会应当及时向国家能源局南方监管局、海南省发展和改革委员会报告争议协调工作开展情况</w:t>
      </w:r>
      <w:r>
        <w:rPr>
          <w:rFonts w:ascii="仿宋_GB2312" w:eastAsia="仿宋_GB2312" w:hAnsi="宋体" w:cs="仿宋_GB2312" w:hint="eastAsia"/>
          <w:color w:val="FF0000"/>
          <w:kern w:val="0"/>
          <w:sz w:val="32"/>
          <w:szCs w:val="32"/>
          <w:lang w:bidi="ar"/>
        </w:rPr>
        <w:t>。</w:t>
      </w:r>
    </w:p>
    <w:p>
      <w:pPr>
        <w:widowControl/>
        <w:spacing w:line="560" w:lineRule="exact"/>
        <w:ind w:firstLine="640" w:firstLineChars="200"/>
        <w:jc w:val="left"/>
        <w:rPr>
          <w:sz w:val="32"/>
          <w:szCs w:val="32"/>
        </w:rPr>
      </w:pPr>
      <w:r>
        <w:rPr>
          <w:rFonts w:ascii="仿宋_GB2312" w:eastAsia="仿宋_GB2312" w:hAnsi="宋体" w:cs="仿宋_GB2312" w:hint="eastAsia"/>
          <w:b/>
          <w:bCs/>
          <w:color w:val="000000"/>
          <w:kern w:val="0"/>
          <w:sz w:val="32"/>
          <w:szCs w:val="32"/>
          <w:lang w:bidi="ar"/>
        </w:rPr>
        <w:t xml:space="preserve">第二十一条 </w:t>
      </w:r>
      <w:r>
        <w:rPr>
          <w:rFonts w:ascii="仿宋_GB2312" w:eastAsia="仿宋_GB2312" w:hAnsi="宋体" w:cs="仿宋_GB2312" w:hint="eastAsia"/>
          <w:color w:val="000000"/>
          <w:kern w:val="0"/>
          <w:sz w:val="32"/>
          <w:szCs w:val="32"/>
          <w:lang w:bidi="ar"/>
        </w:rPr>
        <w:t>争议协调工作中发现当事人存在违反《海南电力市场成员自律公约》的，应在3个工作日内书面报告市场管理委员会；存在操纵市场、价格欺诈等违法违规行为的，协调机构应当立即终止协调程序，并在3个工作日内书面报告国家能源局南方监管局、海南省发展和改革委员会。</w:t>
      </w:r>
    </w:p>
    <w:p>
      <w:pPr>
        <w:widowControl/>
        <w:spacing w:line="560" w:lineRule="exact"/>
        <w:ind w:firstLine="640" w:firstLineChars="200"/>
        <w:jc w:val="left"/>
        <w:rPr>
          <w:rFonts w:ascii="仿宋_GB2312" w:eastAsia="仿宋_GB2312" w:hAnsi="宋体" w:cs="仿宋_GB2312" w:hint="eastAsia"/>
          <w:color w:val="000000"/>
          <w:kern w:val="0"/>
          <w:sz w:val="32"/>
          <w:szCs w:val="32"/>
          <w:lang w:bidi="ar"/>
        </w:rPr>
      </w:pPr>
      <w:r>
        <w:rPr>
          <w:rFonts w:ascii="仿宋_GB2312" w:eastAsia="仿宋_GB2312" w:hAnsi="宋体" w:cs="仿宋_GB2312" w:hint="eastAsia"/>
          <w:b/>
          <w:bCs/>
          <w:color w:val="000000"/>
          <w:kern w:val="0"/>
          <w:sz w:val="32"/>
          <w:szCs w:val="32"/>
          <w:lang w:bidi="ar"/>
        </w:rPr>
        <w:t xml:space="preserve">第二十二条 </w:t>
      </w:r>
      <w:r>
        <w:rPr>
          <w:rFonts w:ascii="仿宋_GB2312" w:eastAsia="仿宋_GB2312" w:hAnsi="宋体" w:cs="仿宋_GB2312" w:hint="eastAsia"/>
          <w:color w:val="000000"/>
          <w:kern w:val="0"/>
          <w:sz w:val="32"/>
          <w:szCs w:val="32"/>
          <w:lang w:bidi="ar"/>
        </w:rPr>
        <w:t>海南电力市场争议协调机构开展争议协调工作不收取任何形式的费用。</w:t>
      </w:r>
    </w:p>
    <w:p>
      <w:pPr>
        <w:widowControl/>
        <w:spacing w:line="560" w:lineRule="exact"/>
        <w:ind w:firstLine="640" w:firstLineChars="200"/>
        <w:jc w:val="left"/>
        <w:rPr>
          <w:rFonts w:ascii="仿宋_GB2312" w:eastAsia="仿宋_GB2312" w:hAnsi="宋体" w:cs="仿宋_GB2312" w:hint="eastAsia"/>
          <w:color w:val="000000"/>
          <w:kern w:val="0"/>
          <w:sz w:val="32"/>
          <w:szCs w:val="32"/>
          <w:lang w:bidi="ar"/>
        </w:rPr>
      </w:pPr>
    </w:p>
    <w:p>
      <w:pPr>
        <w:widowControl/>
        <w:spacing w:line="560" w:lineRule="exact"/>
        <w:ind w:firstLine="640" w:firstLineChars="200"/>
        <w:jc w:val="center"/>
        <w:rPr>
          <w:sz w:val="32"/>
          <w:szCs w:val="32"/>
        </w:rPr>
      </w:pPr>
      <w:r>
        <w:rPr>
          <w:rFonts w:ascii="黑体" w:eastAsia="黑体" w:hAnsi="宋体" w:cs="黑体" w:hint="eastAsia"/>
          <w:color w:val="000000"/>
          <w:kern w:val="0"/>
          <w:sz w:val="32"/>
          <w:szCs w:val="32"/>
          <w:lang w:bidi="ar"/>
        </w:rPr>
        <w:t>第五章 附则</w:t>
      </w:r>
    </w:p>
    <w:p>
      <w:pPr>
        <w:widowControl/>
        <w:spacing w:line="560" w:lineRule="exact"/>
        <w:ind w:firstLine="640" w:firstLineChars="200"/>
        <w:jc w:val="left"/>
        <w:rPr>
          <w:sz w:val="32"/>
          <w:szCs w:val="32"/>
        </w:rPr>
      </w:pPr>
      <w:r>
        <w:rPr>
          <w:rFonts w:ascii="仿宋_GB2312" w:eastAsia="仿宋_GB2312" w:hAnsi="宋体" w:cs="仿宋_GB2312" w:hint="eastAsia"/>
          <w:b/>
          <w:bCs/>
          <w:color w:val="000000"/>
          <w:kern w:val="0"/>
          <w:sz w:val="32"/>
          <w:szCs w:val="32"/>
          <w:lang w:bidi="ar"/>
        </w:rPr>
        <w:t xml:space="preserve">第二十三条 </w:t>
      </w:r>
      <w:r>
        <w:rPr>
          <w:rFonts w:ascii="仿宋_GB2312" w:eastAsia="仿宋_GB2312" w:hAnsi="宋体" w:cs="仿宋_GB2312" w:hint="eastAsia"/>
          <w:color w:val="000000"/>
          <w:kern w:val="0"/>
          <w:sz w:val="32"/>
          <w:szCs w:val="32"/>
          <w:lang w:bidi="ar"/>
        </w:rPr>
        <w:t>本工作指引由市场管理委员会负责制定和解释。</w:t>
      </w:r>
    </w:p>
    <w:p>
      <w:pPr>
        <w:widowControl/>
        <w:spacing w:line="560" w:lineRule="exact"/>
        <w:ind w:firstLine="640" w:firstLineChars="200"/>
        <w:jc w:val="left"/>
        <w:rPr>
          <w:sz w:val="32"/>
          <w:szCs w:val="32"/>
        </w:rPr>
      </w:pPr>
      <w:r>
        <w:rPr>
          <w:rFonts w:ascii="仿宋_GB2312" w:eastAsia="仿宋_GB2312" w:hAnsi="宋体" w:cs="仿宋_GB2312" w:hint="eastAsia"/>
          <w:b/>
          <w:bCs/>
          <w:color w:val="000000"/>
          <w:kern w:val="0"/>
          <w:sz w:val="32"/>
          <w:szCs w:val="32"/>
          <w:lang w:bidi="ar"/>
        </w:rPr>
        <w:t xml:space="preserve">第二十四条 </w:t>
      </w:r>
      <w:r>
        <w:rPr>
          <w:rFonts w:ascii="仿宋_GB2312" w:eastAsia="仿宋_GB2312" w:hAnsi="宋体" w:cs="仿宋_GB2312" w:hint="eastAsia"/>
          <w:color w:val="000000"/>
          <w:kern w:val="0"/>
          <w:sz w:val="32"/>
          <w:szCs w:val="32"/>
          <w:lang w:bidi="ar"/>
        </w:rPr>
        <w:t>本工作指引与国家关于电力市场监管、争议纠纷调解等政策规范性文件不符的，从其规定。</w:t>
      </w:r>
    </w:p>
    <w:p>
      <w:pPr>
        <w:widowControl/>
        <w:spacing w:line="560" w:lineRule="exact"/>
        <w:ind w:firstLine="640" w:firstLineChars="200"/>
        <w:jc w:val="left"/>
      </w:pPr>
      <w:r>
        <w:rPr>
          <w:rFonts w:ascii="仿宋_GB2312" w:eastAsia="仿宋_GB2312" w:hAnsi="宋体" w:cs="仿宋_GB2312" w:hint="eastAsia"/>
          <w:b/>
          <w:bCs/>
          <w:color w:val="000000"/>
          <w:kern w:val="0"/>
          <w:sz w:val="32"/>
          <w:szCs w:val="32"/>
          <w:lang w:bidi="ar"/>
        </w:rPr>
        <w:t xml:space="preserve">第二十五条 </w:t>
      </w:r>
      <w:r>
        <w:rPr>
          <w:rFonts w:ascii="仿宋_GB2312" w:eastAsia="仿宋_GB2312" w:hAnsi="宋体" w:cs="仿宋_GB2312" w:hint="eastAsia"/>
          <w:color w:val="000000"/>
          <w:kern w:val="0"/>
          <w:sz w:val="32"/>
          <w:szCs w:val="32"/>
          <w:lang w:bidi="ar"/>
        </w:rPr>
        <w:t>本工作指引经海南电力市场管理委员会审议通过，自印发之日起生效。</w:t>
      </w:r>
    </w:p>
    <w:p>
      <w:pPr>
        <w:rPr>
          <w:rFonts w:ascii="宋体" w:eastAsia="宋体" w:hAnsi="宋体" w:cs="宋体" w:hint="eastAsia"/>
          <w:b/>
          <w:bCs/>
          <w:color w:val="000000"/>
          <w:kern w:val="0"/>
          <w:sz w:val="28"/>
          <w:szCs w:val="28"/>
          <w:lang w:bidi="ar"/>
        </w:rPr>
      </w:pPr>
      <w:r>
        <w:rPr>
          <w:rFonts w:ascii="宋体" w:eastAsia="宋体" w:hAnsi="宋体" w:cs="宋体" w:hint="eastAsia"/>
          <w:b/>
          <w:bCs/>
          <w:color w:val="000000"/>
          <w:kern w:val="0"/>
          <w:sz w:val="28"/>
          <w:szCs w:val="28"/>
          <w:lang w:bidi="ar"/>
        </w:rPr>
        <w:br w:type="page"/>
      </w:r>
    </w:p>
    <w:p>
      <w:pPr>
        <w:widowControl/>
        <w:spacing w:line="560" w:lineRule="exact"/>
        <w:jc w:val="left"/>
        <w:rPr>
          <w:rFonts w:ascii="黑体" w:eastAsia="黑体" w:hAnsi="黑体" w:cs="黑体" w:hint="eastAsia"/>
          <w:sz w:val="32"/>
          <w:szCs w:val="32"/>
        </w:rPr>
      </w:pPr>
      <w:r>
        <w:rPr>
          <w:rFonts w:ascii="黑体" w:eastAsia="黑体" w:hAnsi="黑体" w:cs="黑体" w:hint="eastAsia"/>
          <w:b/>
          <w:bCs/>
          <w:color w:val="000000"/>
          <w:kern w:val="0"/>
          <w:sz w:val="32"/>
          <w:szCs w:val="32"/>
          <w:lang w:bidi="ar"/>
        </w:rPr>
        <w:t>附件1：</w:t>
      </w:r>
    </w:p>
    <w:p>
      <w:pPr>
        <w:widowControl/>
        <w:spacing w:line="560" w:lineRule="exact"/>
        <w:ind w:firstLine="860" w:firstLineChars="200"/>
        <w:jc w:val="center"/>
        <w:rPr>
          <w:rFonts w:ascii="方正小标宋_GBK" w:eastAsia="方正小标宋_GBK" w:hAnsi="方正小标宋_GBK" w:cs="方正小标宋_GBK" w:hint="eastAsia"/>
          <w:color w:val="000000"/>
          <w:kern w:val="0"/>
          <w:sz w:val="43"/>
          <w:szCs w:val="43"/>
          <w:lang w:bidi="ar"/>
        </w:rPr>
      </w:pPr>
      <w:r>
        <w:rPr>
          <w:rFonts w:ascii="方正小标宋_GBK" w:eastAsia="方正小标宋_GBK" w:hAnsi="方正小标宋_GBK" w:cs="方正小标宋_GBK" w:hint="eastAsia"/>
          <w:color w:val="000000"/>
          <w:kern w:val="0"/>
          <w:sz w:val="43"/>
          <w:szCs w:val="43"/>
          <w:lang w:bidi="ar"/>
        </w:rPr>
        <w:t>海南电力市场争议协调申请书</w:t>
      </w:r>
    </w:p>
    <w:p>
      <w:pPr>
        <w:widowControl/>
        <w:spacing w:line="560" w:lineRule="exact"/>
        <w:ind w:firstLine="860" w:firstLineChars="200"/>
        <w:jc w:val="center"/>
        <w:rPr>
          <w:rFonts w:ascii="方正小标宋_GBK" w:eastAsia="方正小标宋_GBK" w:hAnsi="方正小标宋_GBK" w:cs="方正小标宋_GBK" w:hint="eastAsia"/>
          <w:color w:val="000000"/>
          <w:kern w:val="0"/>
          <w:sz w:val="43"/>
          <w:szCs w:val="43"/>
          <w:lang w:bidi="ar"/>
        </w:rPr>
      </w:pPr>
    </w:p>
    <w:p>
      <w:pPr>
        <w:widowControl/>
        <w:spacing w:line="560" w:lineRule="exact"/>
        <w:ind w:firstLine="640" w:firstLineChars="200"/>
        <w:jc w:val="left"/>
        <w:rPr>
          <w:sz w:val="32"/>
          <w:szCs w:val="32"/>
        </w:rPr>
      </w:pPr>
      <w:r>
        <w:rPr>
          <w:rFonts w:ascii="仿宋_GB2312" w:eastAsia="仿宋_GB2312" w:hAnsi="宋体" w:cs="仿宋_GB2312" w:hint="eastAsia"/>
          <w:color w:val="000000"/>
          <w:kern w:val="0"/>
          <w:sz w:val="32"/>
          <w:szCs w:val="32"/>
          <w:lang w:bidi="ar"/>
        </w:rPr>
        <w:t>申请人：[申请人全称]</w:t>
      </w:r>
    </w:p>
    <w:p>
      <w:pPr>
        <w:widowControl/>
        <w:spacing w:line="560" w:lineRule="exact"/>
        <w:ind w:firstLine="640" w:firstLineChars="200"/>
        <w:jc w:val="left"/>
        <w:rPr>
          <w:sz w:val="32"/>
          <w:szCs w:val="32"/>
        </w:rPr>
      </w:pPr>
      <w:r>
        <w:rPr>
          <w:rFonts w:ascii="仿宋_GB2312" w:eastAsia="仿宋_GB2312" w:hAnsi="宋体" w:cs="仿宋_GB2312" w:hint="eastAsia"/>
          <w:color w:val="000000"/>
          <w:kern w:val="0"/>
          <w:sz w:val="32"/>
          <w:szCs w:val="32"/>
          <w:lang w:bidi="ar"/>
        </w:rPr>
        <w:t>法定代表人/负责人：[姓名]</w:t>
      </w:r>
    </w:p>
    <w:p>
      <w:pPr>
        <w:widowControl/>
        <w:spacing w:line="560" w:lineRule="exact"/>
        <w:ind w:firstLine="640" w:firstLineChars="200"/>
        <w:jc w:val="left"/>
        <w:rPr>
          <w:sz w:val="32"/>
          <w:szCs w:val="32"/>
        </w:rPr>
      </w:pPr>
      <w:r>
        <w:rPr>
          <w:rFonts w:ascii="仿宋_GB2312" w:eastAsia="仿宋_GB2312" w:hAnsi="宋体" w:cs="仿宋_GB2312" w:hint="eastAsia"/>
          <w:color w:val="000000"/>
          <w:kern w:val="0"/>
          <w:sz w:val="32"/>
          <w:szCs w:val="32"/>
          <w:lang w:bidi="ar"/>
        </w:rPr>
        <w:t>地址：[详细地址]</w:t>
      </w:r>
    </w:p>
    <w:p>
      <w:pPr>
        <w:widowControl/>
        <w:spacing w:line="560" w:lineRule="exact"/>
        <w:ind w:firstLine="640" w:firstLineChars="200"/>
        <w:jc w:val="left"/>
        <w:rPr>
          <w:sz w:val="32"/>
          <w:szCs w:val="32"/>
        </w:rPr>
      </w:pPr>
      <w:r>
        <w:rPr>
          <w:rFonts w:ascii="仿宋_GB2312" w:eastAsia="仿宋_GB2312" w:hAnsi="宋体" w:cs="仿宋_GB2312" w:hint="eastAsia"/>
          <w:color w:val="000000"/>
          <w:kern w:val="0"/>
          <w:sz w:val="32"/>
          <w:szCs w:val="32"/>
          <w:lang w:bidi="ar"/>
        </w:rPr>
        <w:t>联系方式：[电话/邮箱]</w:t>
      </w:r>
    </w:p>
    <w:p>
      <w:pPr>
        <w:widowControl/>
        <w:spacing w:line="560" w:lineRule="exact"/>
        <w:ind w:firstLine="640" w:firstLineChars="200"/>
        <w:jc w:val="left"/>
        <w:rPr>
          <w:rFonts w:ascii="仿宋_GB2312" w:eastAsia="仿宋_GB2312" w:hAnsi="宋体" w:cs="仿宋_GB2312" w:hint="eastAsia"/>
          <w:color w:val="000000"/>
          <w:kern w:val="0"/>
          <w:sz w:val="32"/>
          <w:szCs w:val="32"/>
          <w:lang w:bidi="ar"/>
        </w:rPr>
      </w:pPr>
    </w:p>
    <w:p>
      <w:pPr>
        <w:widowControl/>
        <w:spacing w:line="560" w:lineRule="exact"/>
        <w:ind w:firstLine="640" w:firstLineChars="200"/>
        <w:jc w:val="left"/>
        <w:rPr>
          <w:sz w:val="32"/>
          <w:szCs w:val="32"/>
        </w:rPr>
      </w:pPr>
      <w:r>
        <w:rPr>
          <w:rFonts w:ascii="仿宋_GB2312" w:eastAsia="仿宋_GB2312" w:hAnsi="宋体" w:cs="仿宋_GB2312" w:hint="eastAsia"/>
          <w:color w:val="000000"/>
          <w:kern w:val="0"/>
          <w:sz w:val="32"/>
          <w:szCs w:val="32"/>
          <w:lang w:bidi="ar"/>
        </w:rPr>
        <w:t>被申请人：[被申请人全称]</w:t>
      </w:r>
    </w:p>
    <w:p>
      <w:pPr>
        <w:widowControl/>
        <w:spacing w:line="560" w:lineRule="exact"/>
        <w:ind w:firstLine="640" w:firstLineChars="200"/>
        <w:jc w:val="left"/>
        <w:rPr>
          <w:sz w:val="32"/>
          <w:szCs w:val="32"/>
        </w:rPr>
      </w:pPr>
      <w:r>
        <w:rPr>
          <w:rFonts w:ascii="仿宋_GB2312" w:eastAsia="仿宋_GB2312" w:hAnsi="宋体" w:cs="仿宋_GB2312" w:hint="eastAsia"/>
          <w:color w:val="000000"/>
          <w:kern w:val="0"/>
          <w:sz w:val="32"/>
          <w:szCs w:val="32"/>
          <w:lang w:bidi="ar"/>
        </w:rPr>
        <w:t>法定代表人/负责人：[姓名]</w:t>
      </w:r>
    </w:p>
    <w:p>
      <w:pPr>
        <w:widowControl/>
        <w:spacing w:line="560" w:lineRule="exact"/>
        <w:ind w:firstLine="640" w:firstLineChars="200"/>
        <w:jc w:val="left"/>
        <w:rPr>
          <w:sz w:val="32"/>
          <w:szCs w:val="32"/>
        </w:rPr>
      </w:pPr>
      <w:r>
        <w:rPr>
          <w:rFonts w:ascii="仿宋_GB2312" w:eastAsia="仿宋_GB2312" w:hAnsi="宋体" w:cs="仿宋_GB2312" w:hint="eastAsia"/>
          <w:color w:val="000000"/>
          <w:kern w:val="0"/>
          <w:sz w:val="32"/>
          <w:szCs w:val="32"/>
          <w:lang w:bidi="ar"/>
        </w:rPr>
        <w:t>地址：[详细地址]</w:t>
      </w:r>
    </w:p>
    <w:p>
      <w:pPr>
        <w:widowControl/>
        <w:spacing w:line="560" w:lineRule="exact"/>
        <w:ind w:firstLine="640" w:firstLineChars="200"/>
        <w:jc w:val="left"/>
        <w:rPr>
          <w:sz w:val="32"/>
          <w:szCs w:val="32"/>
        </w:rPr>
      </w:pPr>
      <w:r>
        <w:rPr>
          <w:rFonts w:ascii="仿宋_GB2312" w:eastAsia="仿宋_GB2312" w:hAnsi="宋体" w:cs="仿宋_GB2312" w:hint="eastAsia"/>
          <w:color w:val="000000"/>
          <w:kern w:val="0"/>
          <w:sz w:val="32"/>
          <w:szCs w:val="32"/>
          <w:lang w:bidi="ar"/>
        </w:rPr>
        <w:t>联系方式：[电话/邮箱]</w:t>
      </w:r>
    </w:p>
    <w:p>
      <w:pPr>
        <w:widowControl/>
        <w:spacing w:line="560" w:lineRule="exact"/>
        <w:ind w:firstLine="640" w:firstLineChars="200"/>
        <w:jc w:val="left"/>
        <w:rPr>
          <w:sz w:val="32"/>
          <w:szCs w:val="32"/>
        </w:rPr>
      </w:pPr>
      <w:r>
        <w:rPr>
          <w:rFonts w:ascii="仿宋_GB2312" w:eastAsia="仿宋_GB2312" w:hAnsi="宋体" w:cs="仿宋_GB2312" w:hint="eastAsia"/>
          <w:b/>
          <w:bCs/>
          <w:color w:val="000000"/>
          <w:kern w:val="0"/>
          <w:sz w:val="32"/>
          <w:szCs w:val="32"/>
          <w:lang w:bidi="ar"/>
        </w:rPr>
        <w:t>（若被申请人为多人，需一一列出）</w:t>
      </w:r>
    </w:p>
    <w:p>
      <w:pPr>
        <w:widowControl/>
        <w:spacing w:line="560" w:lineRule="exact"/>
        <w:ind w:firstLine="640" w:firstLineChars="200"/>
        <w:jc w:val="left"/>
        <w:rPr>
          <w:sz w:val="32"/>
          <w:szCs w:val="32"/>
        </w:rPr>
      </w:pPr>
      <w:r>
        <w:rPr>
          <w:rFonts w:ascii="黑体" w:eastAsia="黑体" w:hAnsi="宋体" w:cs="黑体" w:hint="eastAsia"/>
          <w:color w:val="000000"/>
          <w:kern w:val="0"/>
          <w:sz w:val="32"/>
          <w:szCs w:val="32"/>
          <w:lang w:bidi="ar"/>
        </w:rPr>
        <w:t>一、争议事项</w:t>
      </w:r>
    </w:p>
    <w:p>
      <w:pPr>
        <w:widowControl/>
        <w:spacing w:line="560" w:lineRule="exact"/>
        <w:ind w:firstLine="640" w:firstLineChars="200"/>
        <w:jc w:val="left"/>
        <w:rPr>
          <w:sz w:val="32"/>
          <w:szCs w:val="32"/>
        </w:rPr>
      </w:pPr>
      <w:r>
        <w:rPr>
          <w:rFonts w:ascii="仿宋_GB2312" w:eastAsia="仿宋_GB2312" w:hAnsi="宋体" w:cs="仿宋_GB2312" w:hint="eastAsia"/>
          <w:color w:val="000000"/>
          <w:kern w:val="0"/>
          <w:sz w:val="32"/>
          <w:szCs w:val="32"/>
          <w:lang w:val="en-US" w:eastAsia="zh-CN" w:bidi="ar"/>
        </w:rPr>
        <w:t>简述</w:t>
      </w:r>
      <w:r>
        <w:rPr>
          <w:rFonts w:ascii="仿宋_GB2312" w:eastAsia="仿宋_GB2312" w:hAnsi="宋体" w:cs="仿宋_GB2312" w:hint="eastAsia"/>
          <w:color w:val="000000"/>
          <w:kern w:val="0"/>
          <w:sz w:val="32"/>
          <w:szCs w:val="32"/>
          <w:lang w:bidi="ar"/>
        </w:rPr>
        <w:t>争议事项（30字以内）。</w:t>
      </w:r>
    </w:p>
    <w:p>
      <w:pPr>
        <w:widowControl/>
        <w:spacing w:line="560" w:lineRule="exact"/>
        <w:ind w:firstLine="640" w:firstLineChars="200"/>
        <w:jc w:val="left"/>
        <w:rPr>
          <w:sz w:val="32"/>
          <w:szCs w:val="32"/>
        </w:rPr>
      </w:pPr>
      <w:r>
        <w:rPr>
          <w:rFonts w:ascii="黑体" w:eastAsia="黑体" w:hAnsi="宋体" w:cs="黑体" w:hint="eastAsia"/>
          <w:color w:val="000000"/>
          <w:kern w:val="0"/>
          <w:sz w:val="32"/>
          <w:szCs w:val="32"/>
          <w:lang w:bidi="ar"/>
        </w:rPr>
        <w:t>二、争议类型</w:t>
      </w:r>
    </w:p>
    <w:p>
      <w:pPr>
        <w:widowControl/>
        <w:spacing w:line="560" w:lineRule="exact"/>
        <w:ind w:firstLine="640" w:firstLineChars="200"/>
        <w:jc w:val="left"/>
        <w:rPr>
          <w:sz w:val="32"/>
          <w:szCs w:val="32"/>
        </w:rPr>
      </w:pPr>
      <w:r>
        <w:rPr>
          <w:rFonts w:ascii="仿宋_GB2312" w:eastAsia="仿宋_GB2312" w:hAnsi="宋体" w:cs="仿宋_GB2312" w:hint="eastAsia"/>
          <w:color w:val="000000"/>
          <w:kern w:val="0"/>
          <w:sz w:val="32"/>
          <w:szCs w:val="32"/>
          <w:lang w:bidi="ar"/>
        </w:rPr>
        <w:t>□市场主体之间的争议</w:t>
      </w:r>
    </w:p>
    <w:p>
      <w:pPr>
        <w:widowControl/>
        <w:spacing w:line="560" w:lineRule="exact"/>
        <w:ind w:firstLine="640" w:firstLineChars="200"/>
        <w:jc w:val="left"/>
        <w:rPr>
          <w:sz w:val="32"/>
          <w:szCs w:val="32"/>
        </w:rPr>
      </w:pPr>
      <w:r>
        <w:rPr>
          <w:rFonts w:ascii="仿宋_GB2312" w:eastAsia="仿宋_GB2312" w:hAnsi="宋体" w:cs="仿宋_GB2312" w:hint="eastAsia"/>
          <w:color w:val="000000"/>
          <w:kern w:val="0"/>
          <w:sz w:val="32"/>
          <w:szCs w:val="32"/>
          <w:lang w:bidi="ar"/>
        </w:rPr>
        <w:t>□市场主体与运营机构之间的争议</w:t>
      </w:r>
    </w:p>
    <w:p>
      <w:pPr>
        <w:widowControl/>
        <w:spacing w:line="560" w:lineRule="exact"/>
        <w:ind w:firstLine="640" w:firstLineChars="200"/>
        <w:jc w:val="left"/>
        <w:rPr>
          <w:sz w:val="32"/>
          <w:szCs w:val="32"/>
        </w:rPr>
      </w:pPr>
      <w:r>
        <w:rPr>
          <w:rFonts w:ascii="黑体" w:eastAsia="黑体" w:hAnsi="宋体" w:cs="黑体" w:hint="eastAsia"/>
          <w:color w:val="000000"/>
          <w:kern w:val="0"/>
          <w:sz w:val="32"/>
          <w:szCs w:val="32"/>
          <w:lang w:bidi="ar"/>
        </w:rPr>
        <w:t>三、协调机构</w:t>
      </w:r>
    </w:p>
    <w:p>
      <w:pPr>
        <w:widowControl/>
        <w:spacing w:line="560" w:lineRule="exact"/>
        <w:ind w:firstLine="640" w:firstLineChars="200"/>
        <w:jc w:val="left"/>
        <w:rPr>
          <w:sz w:val="32"/>
          <w:szCs w:val="32"/>
        </w:rPr>
      </w:pPr>
      <w:r>
        <w:rPr>
          <w:rFonts w:ascii="仿宋_GB2312" w:eastAsia="仿宋_GB2312" w:hAnsi="宋体" w:cs="仿宋_GB2312" w:hint="eastAsia"/>
          <w:color w:val="000000"/>
          <w:kern w:val="0"/>
          <w:sz w:val="32"/>
          <w:szCs w:val="32"/>
          <w:lang w:bidi="ar"/>
        </w:rPr>
        <w:t>□运营机构（电力交易机构/电力调度机构）</w:t>
      </w:r>
    </w:p>
    <w:p>
      <w:pPr>
        <w:widowControl/>
        <w:spacing w:line="560" w:lineRule="exact"/>
        <w:ind w:firstLine="640" w:firstLineChars="200"/>
        <w:jc w:val="left"/>
        <w:rPr>
          <w:sz w:val="32"/>
          <w:szCs w:val="32"/>
        </w:rPr>
      </w:pPr>
      <w:r>
        <w:rPr>
          <w:rFonts w:ascii="仿宋_GB2312" w:eastAsia="仿宋_GB2312" w:hAnsi="宋体" w:cs="仿宋_GB2312" w:hint="eastAsia"/>
          <w:color w:val="000000"/>
          <w:kern w:val="0"/>
          <w:sz w:val="32"/>
          <w:szCs w:val="32"/>
          <w:lang w:bidi="ar"/>
        </w:rPr>
        <w:t>□市场管理委员会</w:t>
      </w:r>
    </w:p>
    <w:p>
      <w:pPr>
        <w:widowControl/>
        <w:spacing w:line="560" w:lineRule="exact"/>
        <w:ind w:firstLine="640" w:firstLineChars="200"/>
        <w:jc w:val="left"/>
        <w:rPr>
          <w:sz w:val="32"/>
          <w:szCs w:val="32"/>
        </w:rPr>
      </w:pPr>
      <w:r>
        <w:rPr>
          <w:rFonts w:ascii="黑体" w:eastAsia="黑体" w:hAnsi="宋体" w:cs="黑体" w:hint="eastAsia"/>
          <w:color w:val="000000"/>
          <w:kern w:val="0"/>
          <w:sz w:val="32"/>
          <w:szCs w:val="32"/>
          <w:lang w:bidi="ar"/>
        </w:rPr>
        <w:t>四、争议事实与理由</w:t>
      </w:r>
    </w:p>
    <w:p>
      <w:pPr>
        <w:widowControl/>
        <w:spacing w:line="560" w:lineRule="exact"/>
        <w:ind w:firstLine="640" w:firstLineChars="200"/>
        <w:jc w:val="left"/>
        <w:rPr>
          <w:sz w:val="32"/>
          <w:szCs w:val="32"/>
        </w:rPr>
      </w:pPr>
      <w:r>
        <w:rPr>
          <w:rFonts w:ascii="楷体" w:eastAsia="楷体" w:hAnsi="楷体" w:cs="楷体" w:hint="eastAsia"/>
          <w:color w:val="000000"/>
          <w:kern w:val="0"/>
          <w:sz w:val="32"/>
          <w:szCs w:val="32"/>
          <w:lang w:bidi="ar"/>
        </w:rPr>
        <w:t>（一）争议背景</w:t>
      </w:r>
    </w:p>
    <w:p>
      <w:pPr>
        <w:widowControl/>
        <w:spacing w:line="560" w:lineRule="exact"/>
        <w:ind w:firstLine="640" w:firstLineChars="200"/>
        <w:jc w:val="left"/>
        <w:rPr>
          <w:sz w:val="32"/>
          <w:szCs w:val="32"/>
        </w:rPr>
      </w:pPr>
      <w:r>
        <w:rPr>
          <w:rFonts w:ascii="仿宋_GB2312" w:eastAsia="仿宋_GB2312" w:hAnsi="宋体" w:cs="仿宋_GB2312" w:hint="eastAsia"/>
          <w:color w:val="000000"/>
          <w:kern w:val="0"/>
          <w:sz w:val="32"/>
          <w:szCs w:val="32"/>
          <w:lang w:bidi="ar"/>
        </w:rPr>
        <w:t>简要说明争议产生的时间、地点及相关市场活动背景，包括涉及的电力交易、合同签订等基础情况。</w:t>
      </w:r>
    </w:p>
    <w:p>
      <w:pPr>
        <w:widowControl/>
        <w:spacing w:line="560" w:lineRule="exact"/>
        <w:ind w:firstLine="640" w:firstLineChars="200"/>
        <w:jc w:val="left"/>
        <w:rPr>
          <w:sz w:val="32"/>
          <w:szCs w:val="32"/>
        </w:rPr>
      </w:pPr>
      <w:r>
        <w:rPr>
          <w:rFonts w:ascii="楷体" w:eastAsia="楷体" w:hAnsi="楷体" w:cs="楷体" w:hint="eastAsia"/>
          <w:color w:val="000000"/>
          <w:kern w:val="0"/>
          <w:sz w:val="32"/>
          <w:szCs w:val="32"/>
          <w:lang w:bidi="ar"/>
        </w:rPr>
        <w:t>（二）争议焦点</w:t>
      </w:r>
    </w:p>
    <w:p>
      <w:pPr>
        <w:widowControl/>
        <w:spacing w:line="560" w:lineRule="exact"/>
        <w:ind w:firstLine="640" w:firstLineChars="200"/>
        <w:jc w:val="left"/>
        <w:rPr>
          <w:sz w:val="32"/>
          <w:szCs w:val="32"/>
        </w:rPr>
      </w:pPr>
      <w:r>
        <w:rPr>
          <w:rFonts w:ascii="仿宋" w:eastAsia="仿宋" w:hAnsi="仿宋" w:cs="仿宋" w:hint="eastAsia"/>
          <w:color w:val="000000"/>
          <w:kern w:val="0"/>
          <w:sz w:val="32"/>
          <w:szCs w:val="32"/>
          <w:lang w:bidi="ar"/>
        </w:rPr>
        <w:t>对照《</w:t>
      </w:r>
      <w:r>
        <w:rPr>
          <w:rFonts w:ascii="仿宋_GB2312" w:eastAsia="仿宋_GB2312" w:hAnsi="仿宋_GB2312" w:cs="仿宋_GB2312" w:hint="eastAsia"/>
          <w:sz w:val="32"/>
          <w:szCs w:val="32"/>
        </w:rPr>
        <w:t>海南电力市场争议纠纷调解指引</w:t>
      </w:r>
      <w:r>
        <w:rPr>
          <w:rFonts w:ascii="仿宋" w:eastAsia="仿宋" w:hAnsi="仿宋" w:cs="仿宋" w:hint="eastAsia"/>
          <w:color w:val="000000"/>
          <w:kern w:val="0"/>
          <w:sz w:val="32"/>
          <w:szCs w:val="32"/>
          <w:lang w:bidi="ar"/>
        </w:rPr>
        <w:t>》第二条确定的适用范</w:t>
      </w:r>
      <w:r>
        <w:rPr>
          <w:rFonts w:ascii="仿宋_GB2312" w:eastAsia="仿宋_GB2312" w:hAnsi="宋体" w:cs="仿宋_GB2312" w:hint="eastAsia"/>
          <w:color w:val="000000"/>
          <w:kern w:val="0"/>
          <w:sz w:val="32"/>
          <w:szCs w:val="32"/>
          <w:lang w:bidi="ar"/>
        </w:rPr>
        <w:t>围，明确阐述争议核心问题。</w:t>
      </w:r>
    </w:p>
    <w:p>
      <w:pPr>
        <w:widowControl/>
        <w:spacing w:line="560" w:lineRule="exact"/>
        <w:ind w:firstLine="640" w:firstLineChars="200"/>
        <w:jc w:val="left"/>
        <w:rPr>
          <w:sz w:val="32"/>
          <w:szCs w:val="32"/>
        </w:rPr>
      </w:pPr>
      <w:r>
        <w:rPr>
          <w:rFonts w:ascii="楷体" w:eastAsia="楷体" w:hAnsi="楷体" w:cs="楷体" w:hint="eastAsia"/>
          <w:color w:val="000000"/>
          <w:kern w:val="0"/>
          <w:sz w:val="32"/>
          <w:szCs w:val="32"/>
          <w:lang w:bidi="ar"/>
        </w:rPr>
        <w:t>（三）争议过程</w:t>
      </w:r>
    </w:p>
    <w:p>
      <w:pPr>
        <w:widowControl/>
        <w:spacing w:line="560" w:lineRule="exact"/>
        <w:ind w:firstLine="640" w:firstLineChars="200"/>
        <w:jc w:val="left"/>
        <w:rPr>
          <w:sz w:val="32"/>
          <w:szCs w:val="32"/>
        </w:rPr>
      </w:pPr>
      <w:r>
        <w:rPr>
          <w:rFonts w:ascii="仿宋_GB2312" w:eastAsia="仿宋_GB2312" w:hAnsi="宋体" w:cs="仿宋_GB2312" w:hint="eastAsia"/>
          <w:color w:val="000000"/>
          <w:kern w:val="0"/>
          <w:sz w:val="32"/>
          <w:szCs w:val="32"/>
          <w:lang w:bidi="ar"/>
        </w:rPr>
        <w:t>详细叙述争议从产生到当前的发展过程，包括双方已采取的沟通、协商等措施及结果。</w:t>
      </w:r>
    </w:p>
    <w:p>
      <w:pPr>
        <w:widowControl/>
        <w:spacing w:line="560" w:lineRule="exact"/>
        <w:ind w:firstLine="640" w:firstLineChars="200"/>
        <w:jc w:val="left"/>
        <w:rPr>
          <w:sz w:val="32"/>
          <w:szCs w:val="32"/>
        </w:rPr>
      </w:pPr>
      <w:r>
        <w:rPr>
          <w:rFonts w:ascii="黑体" w:eastAsia="黑体" w:hAnsi="宋体" w:cs="黑体" w:hint="eastAsia"/>
          <w:color w:val="000000"/>
          <w:kern w:val="0"/>
          <w:sz w:val="32"/>
          <w:szCs w:val="32"/>
          <w:lang w:bidi="ar"/>
        </w:rPr>
        <w:t>五、具体协调要求</w:t>
      </w:r>
    </w:p>
    <w:p>
      <w:pPr>
        <w:widowControl/>
        <w:spacing w:line="560" w:lineRule="exact"/>
        <w:ind w:firstLine="640" w:firstLineChars="200"/>
        <w:jc w:val="left"/>
        <w:rPr>
          <w:sz w:val="32"/>
          <w:szCs w:val="32"/>
        </w:rPr>
      </w:pPr>
      <w:r>
        <w:rPr>
          <w:rFonts w:ascii="仿宋_GB2312" w:eastAsia="仿宋_GB2312" w:hAnsi="宋体" w:cs="仿宋_GB2312" w:hint="eastAsia"/>
          <w:color w:val="000000"/>
          <w:kern w:val="0"/>
          <w:sz w:val="32"/>
          <w:szCs w:val="32"/>
          <w:lang w:bidi="ar"/>
        </w:rPr>
        <w:t>明确提出希望通过协调达成的具体目标和期望结果。</w:t>
      </w:r>
    </w:p>
    <w:p>
      <w:pPr>
        <w:widowControl/>
        <w:spacing w:line="560" w:lineRule="exact"/>
        <w:ind w:firstLine="640" w:firstLineChars="200"/>
        <w:jc w:val="left"/>
        <w:rPr>
          <w:sz w:val="32"/>
          <w:szCs w:val="32"/>
        </w:rPr>
      </w:pPr>
      <w:r>
        <w:rPr>
          <w:rFonts w:ascii="黑体" w:eastAsia="黑体" w:hAnsi="宋体" w:cs="黑体" w:hint="eastAsia"/>
          <w:color w:val="000000"/>
          <w:kern w:val="0"/>
          <w:sz w:val="32"/>
          <w:szCs w:val="32"/>
          <w:lang w:bidi="ar"/>
        </w:rPr>
        <w:t>六、证据材料清单</w:t>
      </w:r>
    </w:p>
    <w:p>
      <w:pPr>
        <w:widowControl/>
        <w:spacing w:line="560" w:lineRule="exact"/>
        <w:ind w:firstLine="640" w:firstLineChars="200"/>
        <w:jc w:val="left"/>
        <w:rPr>
          <w:sz w:val="32"/>
          <w:szCs w:val="32"/>
        </w:rPr>
      </w:pPr>
      <w:r>
        <w:rPr>
          <w:rFonts w:ascii="仿宋_GB2312" w:eastAsia="仿宋_GB2312" w:hAnsi="宋体" w:cs="仿宋_GB2312" w:hint="eastAsia"/>
          <w:color w:val="000000"/>
          <w:kern w:val="0"/>
          <w:sz w:val="32"/>
          <w:szCs w:val="32"/>
          <w:lang w:bidi="ar"/>
        </w:rPr>
        <w:t>[列举证据名称，注明证据数量及形式，如复印件X份、电子文档X份等]</w:t>
      </w:r>
    </w:p>
    <w:p>
      <w:pPr>
        <w:widowControl/>
        <w:spacing w:line="560" w:lineRule="exact"/>
        <w:ind w:firstLine="640" w:firstLineChars="200"/>
        <w:jc w:val="left"/>
        <w:rPr>
          <w:sz w:val="32"/>
          <w:szCs w:val="32"/>
        </w:rPr>
      </w:pPr>
      <w:r>
        <w:rPr>
          <w:rFonts w:ascii="仿宋" w:eastAsia="仿宋" w:hAnsi="仿宋" w:cs="仿宋" w:hint="eastAsia"/>
          <w:b/>
          <w:bCs/>
          <w:color w:val="000000"/>
          <w:kern w:val="0"/>
          <w:sz w:val="32"/>
          <w:szCs w:val="32"/>
          <w:lang w:bidi="ar"/>
        </w:rPr>
        <w:t>申请人声明：以上内容及提交的证据材料均真实、合法、有效，符合《海南电力市场争议纠纷调解指引》第九条规定，如有虚假，愿承担相应法律责任。</w:t>
      </w:r>
    </w:p>
    <w:p>
      <w:pPr>
        <w:widowControl/>
        <w:spacing w:line="560" w:lineRule="exact"/>
        <w:ind w:firstLine="640" w:firstLineChars="200"/>
        <w:jc w:val="left"/>
        <w:rPr>
          <w:rFonts w:ascii="仿宋" w:eastAsia="仿宋" w:hAnsi="仿宋" w:cs="仿宋" w:hint="eastAsia"/>
          <w:color w:val="000000"/>
          <w:kern w:val="0"/>
          <w:sz w:val="32"/>
          <w:szCs w:val="32"/>
          <w:lang w:bidi="ar"/>
        </w:rPr>
      </w:pPr>
    </w:p>
    <w:p>
      <w:pPr>
        <w:widowControl/>
        <w:spacing w:line="560" w:lineRule="exact"/>
        <w:ind w:firstLine="640" w:firstLineChars="200"/>
        <w:jc w:val="left"/>
        <w:rPr>
          <w:rFonts w:ascii="仿宋" w:eastAsia="仿宋" w:hAnsi="仿宋" w:cs="仿宋" w:hint="eastAsia"/>
          <w:color w:val="000000"/>
          <w:kern w:val="0"/>
          <w:sz w:val="32"/>
          <w:szCs w:val="32"/>
          <w:lang w:bidi="ar"/>
        </w:rPr>
      </w:pPr>
    </w:p>
    <w:p>
      <w:pPr>
        <w:widowControl/>
        <w:spacing w:line="560" w:lineRule="exact"/>
        <w:ind w:firstLine="640" w:firstLineChars="200"/>
        <w:jc w:val="right"/>
        <w:rPr>
          <w:sz w:val="32"/>
          <w:szCs w:val="32"/>
        </w:rPr>
      </w:pPr>
      <w:r>
        <w:rPr>
          <w:rFonts w:ascii="仿宋" w:eastAsia="仿宋" w:hAnsi="仿宋" w:cs="仿宋" w:hint="eastAsia"/>
          <w:color w:val="000000"/>
          <w:kern w:val="0"/>
          <w:sz w:val="32"/>
          <w:szCs w:val="32"/>
          <w:lang w:bidi="ar"/>
        </w:rPr>
        <w:t>申请人（盖章）：[申请人公章]</w:t>
      </w:r>
    </w:p>
    <w:p>
      <w:pPr>
        <w:widowControl/>
        <w:spacing w:line="560" w:lineRule="exact"/>
        <w:ind w:firstLine="640" w:firstLineChars="200"/>
        <w:jc w:val="right"/>
        <w:rPr>
          <w:sz w:val="32"/>
          <w:szCs w:val="32"/>
        </w:rPr>
      </w:pPr>
      <w:r>
        <w:rPr>
          <w:rFonts w:ascii="仿宋" w:eastAsia="仿宋" w:hAnsi="仿宋" w:cs="仿宋" w:hint="eastAsia"/>
          <w:color w:val="000000"/>
          <w:kern w:val="0"/>
          <w:sz w:val="32"/>
          <w:szCs w:val="32"/>
          <w:lang w:bidi="ar"/>
        </w:rPr>
        <w:t>日期：[申请日期]</w:t>
      </w:r>
    </w:p>
    <w:p>
      <w:pPr>
        <w:rPr>
          <w:rFonts w:ascii="宋体" w:eastAsia="宋体" w:hAnsi="宋体" w:cs="宋体" w:hint="eastAsia"/>
          <w:b/>
          <w:bCs/>
          <w:color w:val="000000"/>
          <w:kern w:val="0"/>
          <w:sz w:val="28"/>
          <w:szCs w:val="28"/>
          <w:lang w:bidi="ar"/>
        </w:rPr>
      </w:pPr>
      <w:r>
        <w:rPr>
          <w:rFonts w:ascii="宋体" w:eastAsia="宋体" w:hAnsi="宋体" w:cs="宋体" w:hint="eastAsia"/>
          <w:b/>
          <w:bCs/>
          <w:color w:val="000000"/>
          <w:kern w:val="0"/>
          <w:sz w:val="28"/>
          <w:szCs w:val="28"/>
          <w:lang w:bidi="ar"/>
        </w:rPr>
        <w:br w:type="page"/>
      </w:r>
    </w:p>
    <w:p>
      <w:pPr>
        <w:widowControl/>
        <w:spacing w:line="560" w:lineRule="exact"/>
        <w:jc w:val="left"/>
        <w:rPr>
          <w:rFonts w:ascii="黑体" w:eastAsia="黑体" w:hAnsi="黑体" w:cs="黑体" w:hint="eastAsia"/>
          <w:b/>
          <w:bCs/>
          <w:color w:val="000000"/>
          <w:kern w:val="0"/>
          <w:sz w:val="32"/>
          <w:szCs w:val="32"/>
          <w:lang w:bidi="ar"/>
        </w:rPr>
      </w:pPr>
      <w:r>
        <w:rPr>
          <w:rFonts w:ascii="黑体" w:eastAsia="黑体" w:hAnsi="黑体" w:cs="黑体" w:hint="eastAsia"/>
          <w:b/>
          <w:bCs/>
          <w:color w:val="000000"/>
          <w:kern w:val="0"/>
          <w:sz w:val="32"/>
          <w:szCs w:val="32"/>
          <w:lang w:bidi="ar"/>
        </w:rPr>
        <w:t>附件2：</w:t>
      </w:r>
    </w:p>
    <w:p>
      <w:pPr>
        <w:widowControl/>
        <w:spacing w:line="560" w:lineRule="exact"/>
        <w:jc w:val="center"/>
        <w:rPr>
          <w:rFonts w:ascii="方正小标宋_GBK" w:eastAsia="方正小标宋_GBK" w:hAnsi="方正小标宋_GBK" w:cs="方正小标宋_GBK" w:hint="eastAsia"/>
          <w:color w:val="000000"/>
          <w:kern w:val="0"/>
          <w:sz w:val="43"/>
          <w:szCs w:val="43"/>
          <w:lang w:bidi="ar"/>
        </w:rPr>
      </w:pPr>
      <w:r>
        <w:rPr>
          <w:rFonts w:ascii="方正小标宋_GBK" w:eastAsia="方正小标宋_GBK" w:hAnsi="方正小标宋_GBK" w:cs="方正小标宋_GBK" w:hint="eastAsia"/>
          <w:color w:val="000000"/>
          <w:kern w:val="0"/>
          <w:sz w:val="43"/>
          <w:szCs w:val="43"/>
          <w:lang w:bidi="ar"/>
        </w:rPr>
        <w:t>受理/不予受理通知书</w:t>
      </w:r>
    </w:p>
    <w:p>
      <w:pPr>
        <w:widowControl/>
        <w:spacing w:line="560" w:lineRule="exact"/>
        <w:jc w:val="center"/>
        <w:rPr>
          <w:rFonts w:ascii="方正小标宋_GBK" w:eastAsia="方正小标宋_GBK" w:hAnsi="方正小标宋_GBK" w:cs="方正小标宋_GBK" w:hint="eastAsia"/>
          <w:color w:val="000000"/>
          <w:kern w:val="0"/>
          <w:sz w:val="43"/>
          <w:szCs w:val="43"/>
          <w:lang w:bidi="ar"/>
        </w:rPr>
      </w:pPr>
    </w:p>
    <w:p>
      <w:pPr>
        <w:widowControl/>
        <w:spacing w:line="560" w:lineRule="exact"/>
        <w:ind w:firstLine="620" w:firstLineChars="200"/>
        <w:jc w:val="left"/>
      </w:pPr>
      <w:r>
        <w:rPr>
          <w:rFonts w:ascii="仿宋_GB2312" w:eastAsia="仿宋_GB2312" w:hAnsi="宋体" w:cs="仿宋_GB2312" w:hint="eastAsia"/>
          <w:color w:val="000000"/>
          <w:kern w:val="0"/>
          <w:sz w:val="31"/>
          <w:szCs w:val="31"/>
          <w:lang w:bidi="ar"/>
        </w:rPr>
        <w:t>文件编号：                     日期：   年  月  日</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206"/>
        <w:gridCol w:w="6090"/>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7"/>
        </w:trPr>
        <w:tc>
          <w:tcPr>
            <w:tcW w:w="2266" w:type="dxa"/>
            <w:vAlign w:val="center"/>
          </w:tcPr>
          <w:p>
            <w:pPr>
              <w:widowControl/>
              <w:spacing w:line="560" w:lineRule="exact"/>
              <w:jc w:val="center"/>
              <w:rPr>
                <w:rFonts w:ascii="仿宋_GB2312" w:eastAsia="仿宋_GB2312" w:hAnsi="宋体" w:cs="仿宋_GB2312" w:hint="eastAsia"/>
                <w:color w:val="000000"/>
                <w:kern w:val="0"/>
                <w:sz w:val="31"/>
                <w:szCs w:val="31"/>
                <w:lang w:bidi="ar"/>
              </w:rPr>
            </w:pPr>
            <w:r>
              <w:rPr>
                <w:rFonts w:ascii="仿宋_GB2312" w:eastAsia="仿宋_GB2312" w:hAnsi="宋体" w:cs="仿宋_GB2312" w:hint="eastAsia"/>
                <w:color w:val="000000"/>
                <w:kern w:val="0"/>
                <w:sz w:val="31"/>
                <w:szCs w:val="31"/>
                <w:lang w:bidi="ar"/>
              </w:rPr>
              <w:t>申请人</w:t>
            </w:r>
          </w:p>
        </w:tc>
        <w:tc>
          <w:tcPr>
            <w:tcW w:w="6256" w:type="dxa"/>
            <w:vAlign w:val="center"/>
          </w:tcPr>
          <w:p>
            <w:pPr>
              <w:widowControl/>
              <w:spacing w:line="560" w:lineRule="exact"/>
              <w:rPr>
                <w:rFonts w:ascii="仿宋_GB2312" w:eastAsia="仿宋_GB2312" w:hAnsi="宋体" w:cs="仿宋_GB2312" w:hint="eastAsia"/>
                <w:color w:val="000000"/>
                <w:kern w:val="0"/>
                <w:sz w:val="31"/>
                <w:szCs w:val="31"/>
                <w:lang w:bidi="ar"/>
              </w:rPr>
            </w:pPr>
          </w:p>
        </w:tc>
      </w:tr>
      <w:tr>
        <w:tblPrEx>
          <w:tblW w:w="0" w:type="auto"/>
          <w:tblInd w:w="0" w:type="dxa"/>
          <w:tblCellMar>
            <w:top w:w="0" w:type="dxa"/>
            <w:left w:w="108" w:type="dxa"/>
            <w:bottom w:w="0" w:type="dxa"/>
            <w:right w:w="108" w:type="dxa"/>
          </w:tblCellMar>
        </w:tblPrEx>
        <w:trPr>
          <w:trHeight w:val="831"/>
        </w:trPr>
        <w:tc>
          <w:tcPr>
            <w:tcW w:w="2266" w:type="dxa"/>
            <w:vAlign w:val="center"/>
          </w:tcPr>
          <w:p>
            <w:pPr>
              <w:widowControl/>
              <w:spacing w:line="560" w:lineRule="exact"/>
              <w:jc w:val="center"/>
              <w:rPr>
                <w:rFonts w:ascii="仿宋_GB2312" w:eastAsia="仿宋_GB2312" w:hAnsi="宋体" w:cs="仿宋_GB2312" w:hint="eastAsia"/>
                <w:color w:val="000000"/>
                <w:kern w:val="0"/>
                <w:sz w:val="31"/>
                <w:szCs w:val="31"/>
                <w:lang w:bidi="ar"/>
              </w:rPr>
            </w:pPr>
            <w:r>
              <w:rPr>
                <w:rFonts w:ascii="仿宋_GB2312" w:eastAsia="仿宋_GB2312" w:hAnsi="宋体" w:cs="仿宋_GB2312" w:hint="eastAsia"/>
                <w:color w:val="000000"/>
                <w:kern w:val="0"/>
                <w:sz w:val="31"/>
                <w:szCs w:val="31"/>
                <w:lang w:bidi="ar"/>
              </w:rPr>
              <w:t>争议事项</w:t>
            </w:r>
          </w:p>
        </w:tc>
        <w:tc>
          <w:tcPr>
            <w:tcW w:w="6256" w:type="dxa"/>
            <w:vAlign w:val="center"/>
          </w:tcPr>
          <w:p>
            <w:pPr>
              <w:widowControl/>
              <w:spacing w:line="560" w:lineRule="exact"/>
              <w:rPr>
                <w:rFonts w:ascii="仿宋_GB2312" w:eastAsia="仿宋_GB2312" w:hAnsi="宋体" w:cs="仿宋_GB2312" w:hint="eastAsia"/>
                <w:color w:val="000000"/>
                <w:kern w:val="0"/>
                <w:sz w:val="31"/>
                <w:szCs w:val="31"/>
                <w:lang w:bidi="ar"/>
              </w:rPr>
            </w:pPr>
          </w:p>
        </w:tc>
      </w:tr>
      <w:tr>
        <w:tblPrEx>
          <w:tblW w:w="0" w:type="auto"/>
          <w:tblInd w:w="0" w:type="dxa"/>
          <w:tblCellMar>
            <w:top w:w="0" w:type="dxa"/>
            <w:left w:w="108" w:type="dxa"/>
            <w:bottom w:w="0" w:type="dxa"/>
            <w:right w:w="108" w:type="dxa"/>
          </w:tblCellMar>
        </w:tblPrEx>
        <w:trPr>
          <w:trHeight w:val="712"/>
        </w:trPr>
        <w:tc>
          <w:tcPr>
            <w:tcW w:w="2266" w:type="dxa"/>
            <w:vAlign w:val="center"/>
          </w:tcPr>
          <w:p>
            <w:pPr>
              <w:widowControl/>
              <w:spacing w:line="560" w:lineRule="exact"/>
              <w:jc w:val="center"/>
              <w:rPr>
                <w:rFonts w:ascii="仿宋_GB2312" w:eastAsia="仿宋_GB2312" w:hAnsi="宋体" w:cs="仿宋_GB2312" w:hint="eastAsia"/>
                <w:color w:val="000000"/>
                <w:kern w:val="0"/>
                <w:sz w:val="31"/>
                <w:szCs w:val="31"/>
                <w:lang w:bidi="ar"/>
              </w:rPr>
            </w:pPr>
            <w:r>
              <w:rPr>
                <w:rFonts w:ascii="仿宋_GB2312" w:eastAsia="仿宋_GB2312" w:hAnsi="宋体" w:cs="仿宋_GB2312" w:hint="eastAsia"/>
                <w:color w:val="000000"/>
                <w:kern w:val="0"/>
                <w:sz w:val="31"/>
                <w:szCs w:val="31"/>
                <w:lang w:bidi="ar"/>
              </w:rPr>
              <w:t>提交日期</w:t>
            </w:r>
          </w:p>
        </w:tc>
        <w:tc>
          <w:tcPr>
            <w:tcW w:w="6256" w:type="dxa"/>
            <w:vAlign w:val="center"/>
          </w:tcPr>
          <w:p>
            <w:pPr>
              <w:widowControl/>
              <w:spacing w:line="560" w:lineRule="exact"/>
              <w:rPr>
                <w:rFonts w:ascii="仿宋_GB2312" w:eastAsia="仿宋_GB2312" w:hAnsi="宋体" w:cs="仿宋_GB2312" w:hint="eastAsia"/>
                <w:color w:val="000000"/>
                <w:kern w:val="0"/>
                <w:sz w:val="31"/>
                <w:szCs w:val="31"/>
                <w:lang w:bidi="ar"/>
              </w:rPr>
            </w:pPr>
          </w:p>
        </w:tc>
      </w:tr>
      <w:tr>
        <w:tblPrEx>
          <w:tblW w:w="0" w:type="auto"/>
          <w:tblInd w:w="0" w:type="dxa"/>
          <w:tblCellMar>
            <w:top w:w="0" w:type="dxa"/>
            <w:left w:w="108" w:type="dxa"/>
            <w:bottom w:w="0" w:type="dxa"/>
            <w:right w:w="108" w:type="dxa"/>
          </w:tblCellMar>
        </w:tblPrEx>
        <w:tc>
          <w:tcPr>
            <w:tcW w:w="2266" w:type="dxa"/>
            <w:vAlign w:val="center"/>
          </w:tcPr>
          <w:p>
            <w:pPr>
              <w:widowControl/>
              <w:spacing w:line="560" w:lineRule="exact"/>
              <w:jc w:val="center"/>
              <w:rPr>
                <w:rFonts w:ascii="仿宋_GB2312" w:eastAsia="仿宋_GB2312" w:hAnsi="宋体" w:cs="仿宋_GB2312" w:hint="eastAsia"/>
                <w:color w:val="000000"/>
                <w:kern w:val="0"/>
                <w:sz w:val="31"/>
                <w:szCs w:val="31"/>
                <w:lang w:bidi="ar"/>
              </w:rPr>
            </w:pPr>
            <w:r>
              <w:rPr>
                <w:rFonts w:ascii="仿宋_GB2312" w:eastAsia="仿宋_GB2312" w:hAnsi="宋体" w:cs="仿宋_GB2312" w:hint="eastAsia"/>
                <w:color w:val="000000"/>
                <w:kern w:val="0"/>
                <w:sz w:val="31"/>
                <w:szCs w:val="31"/>
                <w:lang w:bidi="ar"/>
              </w:rPr>
              <w:t>受理决定</w:t>
            </w:r>
          </w:p>
        </w:tc>
        <w:tc>
          <w:tcPr>
            <w:tcW w:w="6256" w:type="dxa"/>
            <w:vAlign w:val="center"/>
          </w:tcPr>
          <w:p>
            <w:pPr>
              <w:widowControl/>
              <w:spacing w:line="560" w:lineRule="exact"/>
              <w:ind w:firstLine="620" w:firstLineChars="200"/>
            </w:pPr>
            <w:r>
              <w:rPr>
                <w:rFonts w:ascii="Kingsoft UE" w:eastAsia="Kingsoft UE" w:hAnsi="Kingsoft UE" w:cs="Kingsoft UE"/>
                <w:color w:val="000000"/>
                <w:kern w:val="0"/>
                <w:sz w:val="31"/>
                <w:szCs w:val="31"/>
                <w:lang w:bidi="ar"/>
              </w:rPr>
              <w:t>☐</w:t>
            </w:r>
            <w:r>
              <w:rPr>
                <w:rFonts w:ascii="仿宋_GB2312" w:eastAsia="仿宋_GB2312" w:hAnsi="宋体" w:cs="仿宋_GB2312" w:hint="eastAsia"/>
                <w:color w:val="000000"/>
                <w:kern w:val="0"/>
                <w:sz w:val="31"/>
                <w:szCs w:val="31"/>
                <w:lang w:bidi="ar"/>
              </w:rPr>
              <w:t>受理。您提交的【争议事项】符合《</w:t>
            </w:r>
            <w:r>
              <w:rPr>
                <w:rFonts w:ascii="仿宋_GB2312" w:eastAsia="仿宋_GB2312" w:hAnsi="仿宋_GB2312" w:cs="仿宋_GB2312" w:hint="eastAsia"/>
                <w:sz w:val="32"/>
                <w:szCs w:val="32"/>
              </w:rPr>
              <w:t>海南电力市场争议纠纷调解指引</w:t>
            </w:r>
            <w:r>
              <w:rPr>
                <w:rFonts w:ascii="仿宋_GB2312" w:eastAsia="仿宋_GB2312" w:hAnsi="宋体" w:cs="仿宋_GB2312" w:hint="eastAsia"/>
                <w:color w:val="000000"/>
                <w:kern w:val="0"/>
                <w:sz w:val="31"/>
                <w:szCs w:val="31"/>
                <w:lang w:bidi="ar"/>
              </w:rPr>
              <w:t>》第七条规定，予以受理。</w:t>
            </w:r>
          </w:p>
          <w:p>
            <w:pPr>
              <w:widowControl/>
              <w:spacing w:line="560" w:lineRule="exact"/>
              <w:ind w:firstLine="620" w:firstLineChars="200"/>
              <w:rPr>
                <w:rFonts w:ascii="仿宋_GB2312" w:eastAsia="仿宋_GB2312" w:hAnsi="宋体" w:cs="仿宋_GB2312" w:hint="eastAsia"/>
                <w:color w:val="000000"/>
                <w:kern w:val="0"/>
                <w:sz w:val="31"/>
                <w:szCs w:val="31"/>
                <w:lang w:bidi="ar"/>
              </w:rPr>
            </w:pPr>
            <w:r>
              <w:rPr>
                <w:rFonts w:ascii="Kingsoft UE" w:eastAsia="Kingsoft UE" w:hAnsi="Kingsoft UE" w:cs="Kingsoft UE"/>
                <w:color w:val="000000"/>
                <w:kern w:val="0"/>
                <w:sz w:val="31"/>
                <w:szCs w:val="31"/>
                <w:lang w:bidi="ar"/>
              </w:rPr>
              <w:t>☐</w:t>
            </w:r>
            <w:r>
              <w:rPr>
                <w:rFonts w:ascii="仿宋_GB2312" w:eastAsia="仿宋_GB2312" w:hAnsi="宋体" w:cs="仿宋_GB2312" w:hint="eastAsia"/>
                <w:color w:val="000000"/>
                <w:kern w:val="0"/>
                <w:sz w:val="31"/>
                <w:szCs w:val="31"/>
                <w:lang w:bidi="ar"/>
              </w:rPr>
              <w:t>不予受理。您提交的【争议事项】不符合《</w:t>
            </w:r>
            <w:r>
              <w:rPr>
                <w:rFonts w:ascii="仿宋_GB2312" w:eastAsia="仿宋_GB2312" w:hAnsi="仿宋_GB2312" w:cs="仿宋_GB2312" w:hint="eastAsia"/>
                <w:sz w:val="32"/>
                <w:szCs w:val="32"/>
              </w:rPr>
              <w:t>海南电力市场争议纠纷调解指引</w:t>
            </w:r>
            <w:r>
              <w:rPr>
                <w:rFonts w:ascii="仿宋_GB2312" w:eastAsia="仿宋_GB2312" w:hAnsi="宋体" w:cs="仿宋_GB2312" w:hint="eastAsia"/>
                <w:color w:val="000000"/>
                <w:kern w:val="0"/>
                <w:sz w:val="31"/>
                <w:szCs w:val="31"/>
                <w:lang w:bidi="ar"/>
              </w:rPr>
              <w:t>》第八条第款规定，不予受理。如对本决定不服，可在收到本通知之日起5个工作日内向市场管理委员会申请复核。</w:t>
            </w:r>
          </w:p>
        </w:tc>
      </w:tr>
      <w:tr>
        <w:tblPrEx>
          <w:tblW w:w="0" w:type="auto"/>
          <w:tblInd w:w="0" w:type="dxa"/>
          <w:tblCellMar>
            <w:top w:w="0" w:type="dxa"/>
            <w:left w:w="108" w:type="dxa"/>
            <w:bottom w:w="0" w:type="dxa"/>
            <w:right w:w="108" w:type="dxa"/>
          </w:tblCellMar>
        </w:tblPrEx>
        <w:tc>
          <w:tcPr>
            <w:tcW w:w="2266" w:type="dxa"/>
            <w:vAlign w:val="center"/>
          </w:tcPr>
          <w:p>
            <w:pPr>
              <w:widowControl/>
              <w:spacing w:line="560" w:lineRule="exact"/>
              <w:jc w:val="center"/>
              <w:rPr>
                <w:rFonts w:ascii="仿宋_GB2312" w:eastAsia="仿宋_GB2312" w:hAnsi="宋体" w:cs="仿宋_GB2312" w:hint="eastAsia"/>
                <w:color w:val="000000"/>
                <w:kern w:val="0"/>
                <w:sz w:val="31"/>
                <w:szCs w:val="31"/>
                <w:lang w:bidi="ar"/>
              </w:rPr>
            </w:pPr>
            <w:r>
              <w:rPr>
                <w:rFonts w:ascii="仿宋_GB2312" w:eastAsia="仿宋_GB2312" w:hAnsi="宋体" w:cs="仿宋_GB2312" w:hint="eastAsia"/>
                <w:color w:val="000000"/>
                <w:kern w:val="0"/>
                <w:sz w:val="31"/>
                <w:szCs w:val="31"/>
                <w:lang w:bidi="ar"/>
              </w:rPr>
              <w:t>协调机构</w:t>
            </w:r>
          </w:p>
        </w:tc>
        <w:tc>
          <w:tcPr>
            <w:tcW w:w="6256" w:type="dxa"/>
            <w:vAlign w:val="center"/>
          </w:tcPr>
          <w:p>
            <w:pPr>
              <w:widowControl/>
              <w:spacing w:line="560" w:lineRule="exact"/>
              <w:ind w:firstLine="620" w:firstLineChars="200"/>
              <w:rPr>
                <w:rFonts w:ascii="仿宋_GB2312" w:eastAsia="仿宋_GB2312" w:hAnsi="宋体" w:cs="仿宋_GB2312" w:hint="eastAsia"/>
                <w:color w:val="000000"/>
                <w:kern w:val="0"/>
                <w:sz w:val="31"/>
                <w:szCs w:val="31"/>
                <w:lang w:bidi="ar"/>
              </w:rPr>
            </w:pPr>
            <w:r>
              <w:rPr>
                <w:rFonts w:ascii="Kingsoft UE" w:eastAsia="Kingsoft UE" w:hAnsi="Kingsoft UE" w:cs="Kingsoft UE"/>
                <w:color w:val="000000"/>
                <w:kern w:val="0"/>
                <w:sz w:val="31"/>
                <w:szCs w:val="31"/>
                <w:lang w:bidi="ar"/>
              </w:rPr>
              <w:t>☐</w:t>
            </w:r>
            <w:r>
              <w:rPr>
                <w:rFonts w:ascii="仿宋_GB2312" w:eastAsia="仿宋_GB2312" w:hAnsi="宋体" w:cs="仿宋_GB2312" w:hint="eastAsia"/>
                <w:color w:val="000000"/>
                <w:kern w:val="0"/>
                <w:sz w:val="31"/>
                <w:szCs w:val="31"/>
                <w:lang w:bidi="ar"/>
              </w:rPr>
              <w:t>海南电力市场管理委员会</w:t>
            </w:r>
          </w:p>
          <w:p>
            <w:pPr>
              <w:widowControl/>
              <w:spacing w:line="560" w:lineRule="exact"/>
              <w:ind w:firstLine="620" w:firstLineChars="200"/>
              <w:rPr>
                <w:rFonts w:ascii="仿宋_GB2312" w:eastAsia="仿宋_GB2312" w:hAnsi="宋体" w:cs="仿宋_GB2312" w:hint="eastAsia"/>
                <w:color w:val="000000"/>
                <w:kern w:val="0"/>
                <w:sz w:val="31"/>
                <w:szCs w:val="31"/>
                <w:lang w:bidi="ar"/>
              </w:rPr>
            </w:pPr>
            <w:r>
              <w:rPr>
                <w:rFonts w:ascii="仿宋_GB2312" w:eastAsia="仿宋_GB2312" w:hAnsi="宋体" w:cs="仿宋_GB2312"/>
                <w:color w:val="000000"/>
                <w:kern w:val="0"/>
                <w:sz w:val="31"/>
                <w:szCs w:val="31"/>
                <w:lang w:bidi="ar"/>
              </w:rPr>
              <w:t>☐</w:t>
            </w:r>
            <w:r>
              <w:rPr>
                <w:rFonts w:ascii="仿宋_GB2312" w:eastAsia="仿宋_GB2312" w:hAnsi="宋体" w:cs="仿宋_GB2312" w:hint="eastAsia"/>
                <w:color w:val="000000"/>
                <w:kern w:val="0"/>
                <w:sz w:val="31"/>
                <w:szCs w:val="31"/>
                <w:lang w:bidi="ar"/>
              </w:rPr>
              <w:t>海南电力交易中心</w:t>
            </w:r>
          </w:p>
          <w:p>
            <w:pPr>
              <w:widowControl/>
              <w:spacing w:line="560" w:lineRule="exact"/>
              <w:ind w:firstLine="620" w:firstLineChars="200"/>
              <w:rPr>
                <w:rFonts w:ascii="仿宋_GB2312" w:eastAsia="仿宋_GB2312" w:hAnsi="宋体" w:cs="仿宋_GB2312" w:hint="eastAsia"/>
                <w:color w:val="000000"/>
                <w:kern w:val="0"/>
                <w:sz w:val="31"/>
                <w:szCs w:val="31"/>
                <w:lang w:bidi="ar"/>
              </w:rPr>
            </w:pPr>
            <w:r>
              <w:rPr>
                <w:rFonts w:ascii="仿宋_GB2312" w:eastAsia="仿宋_GB2312" w:hAnsi="宋体" w:cs="仿宋_GB2312"/>
                <w:color w:val="000000"/>
                <w:kern w:val="0"/>
                <w:sz w:val="31"/>
                <w:szCs w:val="31"/>
                <w:lang w:bidi="ar"/>
              </w:rPr>
              <w:t>☐</w:t>
            </w:r>
            <w:r>
              <w:rPr>
                <w:rFonts w:ascii="仿宋_GB2312" w:eastAsia="仿宋_GB2312" w:hAnsi="宋体" w:cs="仿宋_GB2312" w:hint="eastAsia"/>
                <w:color w:val="000000"/>
                <w:kern w:val="0"/>
                <w:sz w:val="31"/>
                <w:szCs w:val="31"/>
                <w:lang w:bidi="ar"/>
              </w:rPr>
              <w:t>海南电力调度机构</w:t>
            </w:r>
          </w:p>
        </w:tc>
      </w:tr>
      <w:tr>
        <w:tblPrEx>
          <w:tblW w:w="0" w:type="auto"/>
          <w:tblInd w:w="0" w:type="dxa"/>
          <w:tblCellMar>
            <w:top w:w="0" w:type="dxa"/>
            <w:left w:w="108" w:type="dxa"/>
            <w:bottom w:w="0" w:type="dxa"/>
            <w:right w:w="108" w:type="dxa"/>
          </w:tblCellMar>
        </w:tblPrEx>
        <w:trPr>
          <w:trHeight w:val="715"/>
        </w:trPr>
        <w:tc>
          <w:tcPr>
            <w:tcW w:w="2266" w:type="dxa"/>
            <w:vAlign w:val="center"/>
          </w:tcPr>
          <w:p>
            <w:pPr>
              <w:widowControl/>
              <w:spacing w:line="560" w:lineRule="exact"/>
              <w:jc w:val="center"/>
              <w:rPr>
                <w:rFonts w:ascii="仿宋_GB2312" w:eastAsia="仿宋_GB2312" w:hAnsi="宋体" w:cs="仿宋_GB2312" w:hint="eastAsia"/>
                <w:color w:val="000000"/>
                <w:kern w:val="0"/>
                <w:sz w:val="31"/>
                <w:szCs w:val="31"/>
                <w:lang w:bidi="ar"/>
              </w:rPr>
            </w:pPr>
            <w:r>
              <w:rPr>
                <w:rFonts w:ascii="仿宋_GB2312" w:eastAsia="仿宋_GB2312" w:hAnsi="宋体" w:cs="仿宋_GB2312" w:hint="eastAsia"/>
                <w:color w:val="000000"/>
                <w:kern w:val="0"/>
                <w:sz w:val="31"/>
                <w:szCs w:val="31"/>
                <w:lang w:bidi="ar"/>
              </w:rPr>
              <w:t>联系人</w:t>
            </w:r>
          </w:p>
        </w:tc>
        <w:tc>
          <w:tcPr>
            <w:tcW w:w="6256" w:type="dxa"/>
            <w:vAlign w:val="center"/>
          </w:tcPr>
          <w:p>
            <w:pPr>
              <w:widowControl/>
              <w:spacing w:line="560" w:lineRule="exact"/>
              <w:rPr>
                <w:rFonts w:ascii="仿宋_GB2312" w:eastAsia="仿宋_GB2312" w:hAnsi="宋体" w:cs="仿宋_GB2312" w:hint="eastAsia"/>
                <w:color w:val="000000"/>
                <w:kern w:val="0"/>
                <w:sz w:val="31"/>
                <w:szCs w:val="31"/>
                <w:lang w:bidi="ar"/>
              </w:rPr>
            </w:pPr>
          </w:p>
        </w:tc>
      </w:tr>
      <w:tr>
        <w:tblPrEx>
          <w:tblW w:w="0" w:type="auto"/>
          <w:tblInd w:w="0" w:type="dxa"/>
          <w:tblCellMar>
            <w:top w:w="0" w:type="dxa"/>
            <w:left w:w="108" w:type="dxa"/>
            <w:bottom w:w="0" w:type="dxa"/>
            <w:right w:w="108" w:type="dxa"/>
          </w:tblCellMar>
        </w:tblPrEx>
        <w:trPr>
          <w:trHeight w:val="775"/>
        </w:trPr>
        <w:tc>
          <w:tcPr>
            <w:tcW w:w="2266" w:type="dxa"/>
            <w:vAlign w:val="center"/>
          </w:tcPr>
          <w:p>
            <w:pPr>
              <w:widowControl/>
              <w:spacing w:line="560" w:lineRule="exact"/>
              <w:jc w:val="center"/>
              <w:rPr>
                <w:rFonts w:ascii="仿宋_GB2312" w:eastAsia="仿宋_GB2312" w:hAnsi="宋体" w:cs="仿宋_GB2312" w:hint="eastAsia"/>
                <w:color w:val="000000"/>
                <w:kern w:val="0"/>
                <w:sz w:val="31"/>
                <w:szCs w:val="31"/>
                <w:lang w:bidi="ar"/>
              </w:rPr>
            </w:pPr>
            <w:r>
              <w:rPr>
                <w:rFonts w:ascii="仿宋_GB2312" w:eastAsia="仿宋_GB2312" w:hAnsi="宋体" w:cs="仿宋_GB2312" w:hint="eastAsia"/>
                <w:color w:val="000000"/>
                <w:kern w:val="0"/>
                <w:sz w:val="31"/>
                <w:szCs w:val="31"/>
                <w:lang w:bidi="ar"/>
              </w:rPr>
              <w:t>联系电话</w:t>
            </w:r>
          </w:p>
        </w:tc>
        <w:tc>
          <w:tcPr>
            <w:tcW w:w="6256" w:type="dxa"/>
            <w:vAlign w:val="center"/>
          </w:tcPr>
          <w:p>
            <w:pPr>
              <w:widowControl/>
              <w:spacing w:line="560" w:lineRule="exact"/>
              <w:rPr>
                <w:rFonts w:ascii="仿宋_GB2312" w:eastAsia="仿宋_GB2312" w:hAnsi="宋体" w:cs="仿宋_GB2312" w:hint="eastAsia"/>
                <w:color w:val="000000"/>
                <w:kern w:val="0"/>
                <w:sz w:val="31"/>
                <w:szCs w:val="31"/>
                <w:lang w:bidi="ar"/>
              </w:rPr>
            </w:pPr>
          </w:p>
        </w:tc>
      </w:tr>
    </w:tbl>
    <w:p>
      <w:pPr>
        <w:widowControl/>
        <w:spacing w:line="560" w:lineRule="exact"/>
        <w:ind w:firstLine="420" w:firstLineChars="200"/>
        <w:jc w:val="left"/>
      </w:pPr>
    </w:p>
    <w:p>
      <w:pPr>
        <w:widowControl/>
        <w:jc w:val="left"/>
      </w:pPr>
      <w:r>
        <w:br w:type="page"/>
      </w:r>
    </w:p>
    <w:p>
      <w:pPr>
        <w:widowControl/>
        <w:spacing w:line="560" w:lineRule="exact"/>
        <w:jc w:val="left"/>
        <w:rPr>
          <w:rFonts w:ascii="黑体" w:eastAsia="黑体" w:hAnsi="黑体" w:cs="黑体" w:hint="eastAsia"/>
          <w:b/>
          <w:bCs/>
          <w:color w:val="000000"/>
          <w:kern w:val="0"/>
          <w:sz w:val="32"/>
          <w:szCs w:val="32"/>
          <w:lang w:bidi="ar"/>
        </w:rPr>
      </w:pPr>
      <w:r>
        <w:rPr>
          <w:rFonts w:ascii="黑体" w:eastAsia="黑体" w:hAnsi="黑体" w:cs="黑体" w:hint="eastAsia"/>
          <w:b/>
          <w:bCs/>
          <w:color w:val="000000"/>
          <w:kern w:val="0"/>
          <w:sz w:val="32"/>
          <w:szCs w:val="32"/>
          <w:lang w:bidi="ar"/>
        </w:rPr>
        <w:t>附件3：</w:t>
      </w:r>
    </w:p>
    <w:p>
      <w:pPr>
        <w:widowControl/>
        <w:spacing w:line="560" w:lineRule="exact"/>
        <w:ind w:firstLine="860" w:firstLineChars="200"/>
        <w:jc w:val="center"/>
        <w:rPr>
          <w:rFonts w:ascii="方正小标宋_GBK" w:eastAsia="方正小标宋_GBK" w:hAnsi="方正小标宋_GBK" w:cs="方正小标宋_GBK" w:hint="default"/>
          <w:color w:val="000000"/>
          <w:kern w:val="0"/>
          <w:sz w:val="43"/>
          <w:szCs w:val="43"/>
          <w:lang w:val="en-US" w:eastAsia="zh-CN" w:bidi="ar"/>
        </w:rPr>
      </w:pPr>
      <w:r>
        <w:rPr>
          <w:rFonts w:ascii="方正小标宋_GBK" w:eastAsia="方正小标宋_GBK" w:hAnsi="方正小标宋_GBK" w:cs="方正小标宋_GBK" w:hint="eastAsia"/>
          <w:color w:val="000000"/>
          <w:kern w:val="0"/>
          <w:sz w:val="43"/>
          <w:szCs w:val="43"/>
          <w:lang w:bidi="ar"/>
        </w:rPr>
        <w:t>海南电力市场</w:t>
      </w:r>
      <w:r>
        <w:rPr>
          <w:rFonts w:ascii="方正小标宋_GBK" w:eastAsia="方正小标宋_GBK" w:hAnsi="方正小标宋_GBK" w:cs="方正小标宋_GBK" w:hint="eastAsia"/>
          <w:color w:val="000000"/>
          <w:kern w:val="0"/>
          <w:sz w:val="43"/>
          <w:szCs w:val="43"/>
          <w:lang w:val="en-US" w:eastAsia="zh-CN" w:bidi="ar"/>
        </w:rPr>
        <w:t>争议处理流程</w:t>
      </w:r>
    </w:p>
    <w:p>
      <w:pPr>
        <w:widowControl/>
        <w:spacing w:line="560" w:lineRule="exact"/>
        <w:ind w:firstLine="860" w:firstLineChars="200"/>
        <w:jc w:val="center"/>
        <w:rPr>
          <w:rFonts w:ascii="方正小标宋_GBK" w:eastAsia="方正小标宋_GBK" w:hAnsi="方正小标宋_GBK" w:cs="方正小标宋_GBK"/>
          <w:color w:val="000000"/>
          <w:kern w:val="0"/>
          <w:sz w:val="43"/>
          <w:szCs w:val="43"/>
          <w:lang w:bidi="ar"/>
        </w:rPr>
      </w:pPr>
    </w:p>
    <w:p>
      <w:pPr>
        <w:widowControl/>
        <w:jc w:val="both"/>
        <w:rPr>
          <w:rFonts w:ascii="方正小标宋_GBK" w:eastAsia="方正小标宋_GBK" w:hAnsi="方正小标宋_GBK" w:cs="方正小标宋_GBK" w:hint="eastAsia"/>
          <w:color w:val="000000"/>
          <w:kern w:val="0"/>
          <w:sz w:val="43"/>
          <w:szCs w:val="43"/>
          <w:lang w:bidi="ar"/>
        </w:rPr>
      </w:pPr>
      <w:r>
        <w:rPr>
          <w:rFonts w:ascii="方正小标宋_GBK" w:eastAsia="方正小标宋_GBK" w:hAnsi="方正小标宋_GBK" w:cs="方正小标宋_GBK" w:hint="eastAsia"/>
          <w:color w:val="000000"/>
          <w:kern w:val="0"/>
          <w:sz w:val="43"/>
          <w:szCs w:val="43"/>
          <w:lang w:bidi="ar"/>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1.25pt;height:524.55pt" o:oleicon="f" o:ole="" coordsize="21600,21600" o:preferrelative="t" filled="f" stroked="f">
            <v:stroke joinstyle="miter"/>
            <v:imagedata r:id="rId4" o:title=""/>
            <o:lock v:ext="edit" aspectratio="f"/>
            <w10:anchorlock/>
          </v:shape>
          <o:OLEObject Type="Embed" ProgID="Visio.Drawing.15" ShapeID="_x0000_i1025" DrawAspect="Content" ObjectID="_1468075725" r:id="rId5"/>
        </w:object>
      </w:r>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Kingsoft UE">
    <w:altName w:val="Verdana"/>
    <w:panose1 w:val="02000100010000000000"/>
    <w:charset w:val="00"/>
    <w:family w:val="auto"/>
    <w:pitch w:val="default"/>
    <w:sig w:usb0="00000000" w:usb1="00000000" w:usb2="00000000" w:usb3="00000000" w:csb0="00000001" w:csb1="00000000"/>
  </w:font>
  <w:font w:name="Verdana">
    <w:panose1 w:val="020B0604030504040204"/>
    <w:charset w:val="00"/>
    <w:family w:val="auto"/>
    <w:pitch w:val="default"/>
    <w:sig w:usb0="A10006FF" w:usb1="4000205B" w:usb2="00000010" w:usb3="00000000" w:csb0="2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交易中心文书">
    <w15:presenceInfo w15:providerId="None" w15:userId="交易中心文书"/>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revisionView w:comments="1" w:formatting="1" w:inkAnnotations="1" w:insDel="1" w:markup="0"/>
  <w:trackRevisions/>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E4D2B2A"/>
    <w:rsid w:val="003607BB"/>
    <w:rsid w:val="003F7B04"/>
    <w:rsid w:val="004E257E"/>
    <w:rsid w:val="00896D0F"/>
    <w:rsid w:val="00F362DA"/>
    <w:rsid w:val="11734159"/>
    <w:rsid w:val="14A05E2C"/>
    <w:rsid w:val="16A13E32"/>
    <w:rsid w:val="1C1C6DE8"/>
    <w:rsid w:val="224750CA"/>
    <w:rsid w:val="251A2223"/>
    <w:rsid w:val="25373A7A"/>
    <w:rsid w:val="2713544B"/>
    <w:rsid w:val="2E717347"/>
    <w:rsid w:val="2F3463A9"/>
    <w:rsid w:val="30037CDD"/>
    <w:rsid w:val="3066412F"/>
    <w:rsid w:val="328A5CFA"/>
    <w:rsid w:val="39291D8F"/>
    <w:rsid w:val="3DBE07DB"/>
    <w:rsid w:val="41463D1F"/>
    <w:rsid w:val="43CB69A0"/>
    <w:rsid w:val="47A06747"/>
    <w:rsid w:val="47CC4426"/>
    <w:rsid w:val="4CC248D3"/>
    <w:rsid w:val="526057B9"/>
    <w:rsid w:val="5E4D2B2A"/>
    <w:rsid w:val="618D2D9B"/>
    <w:rsid w:val="640A6239"/>
    <w:rsid w:val="6C4B6ADC"/>
    <w:rsid w:val="73DB5226"/>
    <w:rsid w:val="79B85F2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qFormat/>
    <w:pPr>
      <w:jc w:val="left"/>
    </w:pPr>
  </w:style>
  <w:style w:type="paragraph" w:styleId="Footer">
    <w:name w:val="footer"/>
    <w:basedOn w:val="Normal"/>
    <w:link w:val="a0"/>
    <w:qFormat/>
    <w:pPr>
      <w:tabs>
        <w:tab w:val="center" w:pos="4153"/>
        <w:tab w:val="right" w:pos="8306"/>
      </w:tabs>
      <w:snapToGrid w:val="0"/>
      <w:jc w:val="left"/>
    </w:pPr>
    <w:rPr>
      <w:sz w:val="18"/>
      <w:szCs w:val="18"/>
    </w:rPr>
  </w:style>
  <w:style w:type="paragraph" w:styleId="Header">
    <w:name w:val="header"/>
    <w:basedOn w:val="Normal"/>
    <w:link w:val="a"/>
    <w:qFormat/>
    <w:pPr>
      <w:tabs>
        <w:tab w:val="center" w:pos="4153"/>
        <w:tab w:val="right" w:pos="8306"/>
      </w:tabs>
      <w:snapToGrid w:val="0"/>
      <w:jc w:val="center"/>
    </w:pPr>
    <w:rPr>
      <w:sz w:val="18"/>
      <w:szCs w:val="18"/>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页眉 字符"/>
    <w:basedOn w:val="DefaultParagraphFont"/>
    <w:link w:val="Header"/>
    <w:qFormat/>
    <w:rPr>
      <w:rFonts w:asciiTheme="minorHAnsi" w:eastAsiaTheme="minorEastAsia" w:hAnsiTheme="minorHAnsi" w:cstheme="minorBidi"/>
      <w:kern w:val="2"/>
      <w:sz w:val="18"/>
      <w:szCs w:val="18"/>
    </w:rPr>
  </w:style>
  <w:style w:type="character" w:customStyle="1" w:styleId="a0">
    <w:name w:val="页脚 字符"/>
    <w:basedOn w:val="DefaultParagraphFont"/>
    <w:link w:val="Footer"/>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emf" /><Relationship Id="rId5" Type="http://schemas.openxmlformats.org/officeDocument/2006/relationships/oleObject" Target="embeddings/oleObject1.bin" /><Relationship Id="rId6" Type="http://schemas.openxmlformats.org/officeDocument/2006/relationships/theme" Target="theme/theme1.xml" /><Relationship Id="rId7" Type="http://schemas.openxmlformats.org/officeDocument/2006/relationships/styles" Target="styles.xml" /><Relationship Id="rId8" Type="http://schemas.microsoft.com/office/2011/relationships/people" Target="peop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31</TotalTime>
  <Pages>10</Pages>
  <Words>1772</Words>
  <Characters>1843</Characters>
  <Application>Microsoft Office Word</Application>
  <DocSecurity>0</DocSecurity>
  <Lines>307</Lines>
  <Paragraphs>212</Paragraphs>
  <ScaleCrop>false</ScaleCrop>
  <Company/>
  <LinksUpToDate>false</LinksUpToDate>
  <CharactersWithSpaces>3403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许婉莹</dc:creator>
  <cp:lastModifiedBy>交易中心文书</cp:lastModifiedBy>
  <cp:revision>3</cp:revision>
  <dcterms:created xsi:type="dcterms:W3CDTF">2025-12-23T06:34:00Z</dcterms:created>
  <dcterms:modified xsi:type="dcterms:W3CDTF">2026-01-27T01:42:34Z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B57CDF4912CD4448BC4E27162C54EBA7</vt:lpwstr>
  </property>
  <property fmtid="{D5CDD505-2E9C-101B-9397-08002B2CF9AE}" pid="3" name="KSOProductBuildVer">
    <vt:lpwstr>2052-11.8.2.12085</vt:lpwstr>
  </property>
  <property fmtid="{D5CDD505-2E9C-101B-9397-08002B2CF9AE}" pid="4" name="KSOTemplateDocerSaveRecord">
    <vt:lpwstr>eyJoZGlkIjoiYjA1Y2UyYTVjOTVhZmY5NGQwNGEzOThhMDQ0ZWE1NWYiLCJ1c2VySWQiOiIyNzg3ODk2MDgifQ==</vt:lpwstr>
  </property>
</Properties>
</file>