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D5B4BC3">
      <w:pPr>
        <w:pStyle w:val="14"/>
        <w:rPr>
          <w:rFonts w:hint="eastAsia" w:eastAsia="黑体"/>
          <w:color w:val="auto"/>
          <w:lang w:eastAsia="zh-CN"/>
        </w:rPr>
      </w:pPr>
      <w:r>
        <w:rPr>
          <w:color w:val="auto"/>
        </w:rPr>
        <w:t>虚拟电厂接入</w:t>
      </w:r>
      <w:r>
        <w:rPr>
          <w:rFonts w:hint="eastAsia"/>
          <w:color w:val="auto"/>
          <w:lang w:val="en-US" w:eastAsia="zh-CN"/>
        </w:rPr>
        <w:t>要求（试行）</w:t>
      </w:r>
    </w:p>
    <w:p w14:paraId="22DD7B31">
      <w:pPr>
        <w:pStyle w:val="2"/>
        <w:widowControl/>
        <w:numPr>
          <w:ilvl w:val="0"/>
          <w:numId w:val="1"/>
        </w:numPr>
        <w:topLinePunct w:val="0"/>
        <w:ind w:left="0" w:leftChars="0" w:firstLine="0" w:firstLineChars="0"/>
        <w:rPr>
          <w:rFonts w:hint="eastAsia" w:ascii="黑体" w:hAnsi="黑体" w:eastAsia="黑体" w:cs="黑体"/>
          <w:b w:val="0"/>
          <w:color w:val="auto"/>
        </w:rPr>
      </w:pPr>
      <w:r>
        <w:rPr>
          <w:color w:val="auto"/>
        </w:rPr>
        <w:t>总则</w:t>
      </w:r>
    </w:p>
    <w:p w14:paraId="288D3E49">
      <w:pPr>
        <w:pStyle w:val="11"/>
        <w:widowControl/>
        <w:rPr>
          <w:rFonts w:hint="eastAsia" w:eastAsia="宋体"/>
          <w:color w:val="auto"/>
          <w:lang w:eastAsia="zh-CN"/>
        </w:rPr>
      </w:pPr>
      <w:r>
        <w:rPr>
          <w:color w:val="auto"/>
        </w:rPr>
        <w:t>为进一步规范虚拟电厂接入管理，提升虚拟电厂运行效率与可靠性，依据《上海电网虚拟电厂接入技术要求（试行）》，结合新型电力负荷管理系统建设需求，制定本方案。本方案适用于接入上海市新型电力负荷管理系统的虚拟电厂运营商平台，旨在明确接入技术要求、材料提交标准及佐证资料规范，推动虚拟电厂安全、高效参与电网调控与市场交易。</w:t>
      </w:r>
    </w:p>
    <w:p w14:paraId="7EA31BA5">
      <w:pPr>
        <w:pStyle w:val="2"/>
        <w:widowControl/>
        <w:numPr>
          <w:ilvl w:val="0"/>
          <w:numId w:val="1"/>
        </w:numPr>
        <w:topLinePunct w:val="0"/>
        <w:ind w:left="0" w:leftChars="0" w:firstLine="0" w:firstLineChars="0"/>
        <w:rPr>
          <w:rFonts w:hint="eastAsia" w:ascii="黑体" w:hAnsi="黑体" w:eastAsia="黑体" w:cs="黑体"/>
          <w:b w:val="0"/>
          <w:color w:val="auto"/>
        </w:rPr>
      </w:pPr>
      <w:r>
        <w:rPr>
          <w:color w:val="auto"/>
        </w:rPr>
        <w:t>运营商平台接入要求</w:t>
      </w:r>
    </w:p>
    <w:p w14:paraId="5DC5529A">
      <w:pPr>
        <w:pStyle w:val="3"/>
        <w:widowControl/>
        <w:numPr>
          <w:ilvl w:val="0"/>
          <w:numId w:val="2"/>
        </w:numPr>
        <w:topLinePunct w:val="0"/>
        <w:ind w:left="0" w:leftChars="0" w:firstLine="0" w:firstLineChars="0"/>
        <w:rPr>
          <w:rFonts w:hint="eastAsia" w:ascii="黑体" w:hAnsi="黑体" w:eastAsia="黑体" w:cs="黑体"/>
          <w:b w:val="0"/>
          <w:color w:val="auto"/>
        </w:rPr>
      </w:pPr>
      <w:r>
        <w:rPr>
          <w:color w:val="auto"/>
        </w:rPr>
        <w:t>平台功能要求</w:t>
      </w:r>
    </w:p>
    <w:p w14:paraId="739C14EA">
      <w:pPr>
        <w:pStyle w:val="11"/>
        <w:widowControl/>
        <w:rPr>
          <w:rFonts w:hint="eastAsia" w:eastAsia="宋体"/>
          <w:color w:val="auto"/>
          <w:lang w:eastAsia="zh-CN"/>
        </w:rPr>
      </w:pPr>
      <w:r>
        <w:rPr>
          <w:color w:val="auto"/>
        </w:rPr>
        <w:t>虚拟电厂运营商平台须满足《上海电网虚拟电厂接入技术要求（试行）》第四章规定，具备用户管理、资源管理、运行控制、市场交易四大核心功能。其中，用户管理涵盖用户注册、协议管理及档案管理等；资源管理需对聚合资源的容量、类型、拓扑结构等信息进行实时监控与管理；运行控制应实现功率预测、调节能力评估、指令分解下发及运行状态监测；市场交易功能需支持策略制定、交易执行及收益分配等业务流程。</w:t>
      </w:r>
    </w:p>
    <w:p w14:paraId="40CB785E">
      <w:pPr>
        <w:pStyle w:val="3"/>
        <w:widowControl/>
        <w:numPr>
          <w:ilvl w:val="0"/>
          <w:numId w:val="2"/>
        </w:numPr>
        <w:topLinePunct w:val="0"/>
        <w:ind w:left="0" w:leftChars="0" w:firstLine="0" w:firstLineChars="0"/>
        <w:rPr>
          <w:rFonts w:hint="eastAsia" w:ascii="黑体" w:hAnsi="黑体" w:eastAsia="黑体" w:cs="黑体"/>
          <w:b w:val="0"/>
          <w:color w:val="auto"/>
        </w:rPr>
      </w:pPr>
      <w:r>
        <w:rPr>
          <w:color w:val="auto"/>
        </w:rPr>
        <w:t>数据接入与交互要求</w:t>
      </w:r>
    </w:p>
    <w:p w14:paraId="371C5AC8">
      <w:pPr>
        <w:pStyle w:val="11"/>
        <w:widowControl/>
        <w:numPr>
          <w:ilvl w:val="0"/>
          <w:numId w:val="3"/>
        </w:numPr>
        <w:ind w:left="0" w:leftChars="0" w:firstLine="480" w:firstLineChars="0"/>
        <w:rPr>
          <w:b w:val="0"/>
          <w:color w:val="auto"/>
        </w:rPr>
      </w:pPr>
      <w:r>
        <w:rPr>
          <w:b/>
          <w:color w:val="auto"/>
        </w:rPr>
        <w:t>数据接入内容</w:t>
      </w:r>
      <w:r>
        <w:rPr>
          <w:color w:val="auto"/>
        </w:rPr>
        <w:t>：需包含模型类数据（虚拟电厂基本信息、下属资源信息、分路资源信息）及运行类数据（总有功功率、预测负荷、可调容量等遥测信息），具体数据项需符合第三章第六条要求。</w:t>
      </w:r>
    </w:p>
    <w:p w14:paraId="2794707D">
      <w:pPr>
        <w:pStyle w:val="11"/>
        <w:widowControl/>
        <w:numPr>
          <w:ilvl w:val="0"/>
          <w:numId w:val="3"/>
        </w:numPr>
        <w:ind w:left="0" w:leftChars="0" w:firstLine="480" w:firstLineChars="0"/>
        <w:rPr>
          <w:b w:val="0"/>
          <w:color w:val="auto"/>
        </w:rPr>
      </w:pPr>
      <w:r>
        <w:rPr>
          <w:b/>
          <w:color w:val="auto"/>
        </w:rPr>
        <w:t>交互频度</w:t>
      </w:r>
      <w:r>
        <w:rPr>
          <w:color w:val="auto"/>
        </w:rPr>
        <w:t>：模型数据变化时交互周期不大于 24 小时；接入运营管理平台的实时数据上送周期不超过 15 分钟；参与调频的实时数据上送周期不大于 5 秒。</w:t>
      </w:r>
    </w:p>
    <w:p w14:paraId="03565FA8">
      <w:pPr>
        <w:pStyle w:val="3"/>
        <w:widowControl/>
        <w:numPr>
          <w:ilvl w:val="0"/>
          <w:numId w:val="2"/>
        </w:numPr>
        <w:topLinePunct w:val="0"/>
        <w:ind w:left="0" w:leftChars="0" w:firstLine="0" w:firstLineChars="0"/>
        <w:rPr>
          <w:rFonts w:hint="eastAsia" w:ascii="黑体" w:hAnsi="黑体" w:eastAsia="黑体" w:cs="黑体"/>
          <w:b w:val="0"/>
          <w:color w:val="auto"/>
        </w:rPr>
      </w:pPr>
      <w:r>
        <w:rPr>
          <w:color w:val="auto"/>
        </w:rPr>
        <w:t>性能与可靠性要求</w:t>
      </w:r>
    </w:p>
    <w:p w14:paraId="687C1EB4">
      <w:pPr>
        <w:pStyle w:val="11"/>
        <w:widowControl/>
        <w:numPr>
          <w:ilvl w:val="0"/>
          <w:numId w:val="4"/>
        </w:numPr>
        <w:ind w:left="0" w:leftChars="0" w:firstLine="480" w:firstLineChars="0"/>
        <w:rPr>
          <w:b w:val="0"/>
          <w:color w:val="auto"/>
        </w:rPr>
      </w:pPr>
      <w:r>
        <w:rPr>
          <w:color w:val="auto"/>
        </w:rPr>
        <w:t>运营商平台每月运行可靠率不低于 99%，参与调频的月可用率不低于 99%，运行数据存储期限不少于 3 年。</w:t>
      </w:r>
    </w:p>
    <w:p w14:paraId="550B0A11">
      <w:pPr>
        <w:pStyle w:val="11"/>
        <w:widowControl/>
        <w:numPr>
          <w:ilvl w:val="0"/>
          <w:numId w:val="4"/>
        </w:numPr>
        <w:ind w:left="0" w:leftChars="0" w:firstLine="480" w:firstLineChars="0"/>
        <w:rPr>
          <w:b w:val="0"/>
          <w:color w:val="auto"/>
        </w:rPr>
      </w:pPr>
      <w:r>
        <w:rPr>
          <w:color w:val="auto"/>
        </w:rPr>
        <w:t>当出现异常导致无法监视运行状态时，需在 12 小时内消除缺陷并恢复通信。</w:t>
      </w:r>
    </w:p>
    <w:p w14:paraId="16D9D8E7">
      <w:pPr>
        <w:pStyle w:val="3"/>
        <w:widowControl/>
        <w:numPr>
          <w:ilvl w:val="0"/>
          <w:numId w:val="2"/>
        </w:numPr>
        <w:topLinePunct w:val="0"/>
        <w:ind w:left="0" w:leftChars="0" w:firstLine="0" w:firstLineChars="0"/>
        <w:rPr>
          <w:rFonts w:hint="eastAsia" w:ascii="黑体" w:hAnsi="黑体" w:eastAsia="黑体" w:cs="黑体"/>
          <w:b w:val="0"/>
          <w:color w:val="auto"/>
        </w:rPr>
      </w:pPr>
      <w:r>
        <w:rPr>
          <w:rFonts w:hint="eastAsia" w:ascii="黑体" w:hAnsi="黑体" w:cs="黑体"/>
          <w:b w:val="0"/>
          <w:color w:val="auto"/>
          <w:lang w:val="en-US" w:eastAsia="zh-CN"/>
        </w:rPr>
        <w:t>安排入网检测的材料审查</w:t>
      </w:r>
    </w:p>
    <w:p w14:paraId="2E051252">
      <w:pPr>
        <w:rPr>
          <w:rFonts w:hint="eastAsia"/>
        </w:rPr>
      </w:pPr>
    </w:p>
    <w:p w14:paraId="2A823A8B">
      <w:pPr>
        <w:pStyle w:val="11"/>
        <w:widowControl/>
        <w:rPr>
          <w:rFonts w:hint="default"/>
          <w:color w:val="auto"/>
          <w:lang w:val="en-US"/>
        </w:rPr>
      </w:pPr>
      <w:r>
        <w:rPr>
          <w:rFonts w:hint="eastAsia"/>
          <w:color w:val="auto"/>
          <w:lang w:val="en-US" w:eastAsia="zh-CN"/>
        </w:rPr>
        <w:t>入网检测前需完成“潜在虚拟电厂运营商送审材料”提交，并通过上海市虚拟电厂管理中心运营组的会审后，由运营组向第三方检测机构开具工作任务单安排检测。</w:t>
      </w:r>
    </w:p>
    <w:p w14:paraId="445C95DB">
      <w:pPr>
        <w:pStyle w:val="11"/>
        <w:widowControl/>
        <w:rPr>
          <w:rFonts w:hint="default" w:eastAsia="宋体"/>
          <w:color w:val="auto"/>
          <w:lang w:val="en-US" w:eastAsia="zh-CN"/>
        </w:rPr>
      </w:pPr>
      <w:r>
        <w:rPr>
          <w:rFonts w:hint="eastAsia"/>
          <w:color w:val="auto"/>
          <w:lang w:val="en-US" w:eastAsia="zh-CN"/>
        </w:rPr>
        <w:t>材料形式：PDF</w:t>
      </w:r>
    </w:p>
    <w:p w14:paraId="31EEE235">
      <w:pPr>
        <w:pStyle w:val="11"/>
        <w:widowControl/>
        <w:rPr>
          <w:rFonts w:hint="eastAsia"/>
          <w:color w:val="auto"/>
          <w:lang w:val="en-US" w:eastAsia="zh-CN"/>
        </w:rPr>
      </w:pPr>
      <w:r>
        <w:rPr>
          <w:rFonts w:hint="eastAsia"/>
          <w:color w:val="auto"/>
          <w:lang w:val="en-US" w:eastAsia="zh-CN"/>
        </w:rPr>
        <w:t>材料提交渠道：</w:t>
      </w:r>
      <w:r>
        <w:rPr>
          <w:rFonts w:hint="eastAsia"/>
          <w:color w:val="auto"/>
          <w:lang w:val="en-US" w:eastAsia="zh-CN"/>
        </w:rPr>
        <w:fldChar w:fldCharType="begin"/>
      </w:r>
      <w:r>
        <w:rPr>
          <w:rFonts w:hint="eastAsia"/>
          <w:color w:val="auto"/>
          <w:lang w:val="en-US" w:eastAsia="zh-CN"/>
        </w:rPr>
        <w:instrText xml:space="preserve"> HYPERLINK "mailto:dr@ihehuang.com" </w:instrText>
      </w:r>
      <w:r>
        <w:rPr>
          <w:rFonts w:hint="eastAsia"/>
          <w:color w:val="auto"/>
          <w:lang w:val="en-US" w:eastAsia="zh-CN"/>
        </w:rPr>
        <w:fldChar w:fldCharType="separate"/>
      </w:r>
      <w:r>
        <w:rPr>
          <w:rStyle w:val="17"/>
          <w:rFonts w:hint="eastAsia"/>
          <w:lang w:val="en-US" w:eastAsia="zh-CN"/>
        </w:rPr>
        <w:t>dr@ihehuang.com</w:t>
      </w:r>
      <w:r>
        <w:rPr>
          <w:rFonts w:hint="eastAsia"/>
          <w:color w:val="auto"/>
          <w:lang w:val="en-US" w:eastAsia="zh-CN"/>
        </w:rPr>
        <w:fldChar w:fldCharType="end"/>
      </w:r>
    </w:p>
    <w:p w14:paraId="730E0FC8">
      <w:pPr>
        <w:pStyle w:val="11"/>
        <w:widowControl/>
        <w:rPr>
          <w:color w:val="auto"/>
        </w:rPr>
      </w:pPr>
      <w:r>
        <w:rPr>
          <w:rFonts w:hint="eastAsia"/>
          <w:color w:val="auto"/>
          <w:lang w:val="en-US" w:eastAsia="zh-CN"/>
        </w:rPr>
        <w:t>邮件主体：【潜在运营商送审材料】-XXX公司名称</w:t>
      </w:r>
    </w:p>
    <w:p w14:paraId="246F735E">
      <w:pPr>
        <w:pStyle w:val="2"/>
        <w:widowControl/>
        <w:numPr>
          <w:ilvl w:val="0"/>
          <w:numId w:val="1"/>
        </w:numPr>
        <w:topLinePunct w:val="0"/>
        <w:ind w:left="0" w:leftChars="0" w:firstLine="0" w:firstLineChars="0"/>
        <w:rPr>
          <w:rFonts w:hint="eastAsia" w:ascii="黑体" w:hAnsi="黑体" w:eastAsia="黑体" w:cs="黑体"/>
          <w:b w:val="0"/>
          <w:color w:val="auto"/>
        </w:rPr>
      </w:pPr>
      <w:r>
        <w:rPr>
          <w:rFonts w:hint="eastAsia"/>
          <w:color w:val="auto"/>
          <w:lang w:val="en-US" w:eastAsia="zh-CN"/>
        </w:rPr>
        <w:t>潜在虚拟电厂</w:t>
      </w:r>
      <w:r>
        <w:rPr>
          <w:color w:val="auto"/>
        </w:rPr>
        <w:t>运营商</w:t>
      </w:r>
      <w:r>
        <w:rPr>
          <w:rFonts w:hint="eastAsia"/>
          <w:color w:val="auto"/>
          <w:lang w:val="en-US" w:eastAsia="zh-CN"/>
        </w:rPr>
        <w:t>送审</w:t>
      </w:r>
      <w:r>
        <w:rPr>
          <w:color w:val="auto"/>
        </w:rPr>
        <w:t>材料</w:t>
      </w:r>
    </w:p>
    <w:p w14:paraId="3EEA3525">
      <w:pPr>
        <w:pStyle w:val="3"/>
        <w:widowControl/>
        <w:numPr>
          <w:ilvl w:val="0"/>
          <w:numId w:val="5"/>
        </w:numPr>
        <w:topLinePunct w:val="0"/>
        <w:ind w:left="0" w:leftChars="0" w:firstLine="0" w:firstLineChars="0"/>
        <w:rPr>
          <w:rFonts w:hint="eastAsia" w:ascii="黑体" w:hAnsi="黑体" w:eastAsia="黑体" w:cs="黑体"/>
          <w:b w:val="0"/>
          <w:color w:val="auto"/>
        </w:rPr>
      </w:pPr>
      <w:r>
        <w:rPr>
          <w:color w:val="auto"/>
        </w:rPr>
        <w:t>平台架构相关材料</w:t>
      </w:r>
    </w:p>
    <w:p w14:paraId="06B95CAE">
      <w:pPr>
        <w:pStyle w:val="11"/>
        <w:widowControl/>
        <w:numPr>
          <w:ilvl w:val="0"/>
          <w:numId w:val="6"/>
        </w:numPr>
        <w:ind w:left="0" w:leftChars="0" w:firstLine="480" w:firstLineChars="0"/>
        <w:rPr>
          <w:rFonts w:hint="eastAsia"/>
        </w:rPr>
      </w:pPr>
      <w:r>
        <w:rPr>
          <w:rFonts w:hint="eastAsia"/>
          <w:b/>
          <w:color w:val="auto"/>
          <w:lang w:val="en-US" w:eastAsia="zh-CN"/>
        </w:rPr>
        <w:t>系统简介</w:t>
      </w:r>
      <w:r>
        <w:rPr>
          <w:color w:val="auto"/>
        </w:rPr>
        <w:t>：</w:t>
      </w:r>
      <w:r>
        <w:rPr>
          <w:rFonts w:hint="eastAsia"/>
          <w:color w:val="auto"/>
          <w:lang w:val="en-US" w:eastAsia="zh-CN"/>
        </w:rPr>
        <w:t>系统建设背景、必要性、系统简介等内容</w:t>
      </w:r>
      <w:r>
        <w:rPr>
          <w:color w:val="auto"/>
        </w:rPr>
        <w:t>。</w:t>
      </w:r>
    </w:p>
    <w:p w14:paraId="3010FF55">
      <w:pPr>
        <w:pStyle w:val="11"/>
        <w:widowControl/>
        <w:numPr>
          <w:ilvl w:val="0"/>
          <w:numId w:val="6"/>
        </w:numPr>
        <w:ind w:left="0" w:leftChars="0" w:firstLine="480" w:firstLineChars="0"/>
        <w:rPr>
          <w:b w:val="0"/>
          <w:color w:val="auto"/>
        </w:rPr>
      </w:pPr>
      <w:r>
        <w:rPr>
          <w:b/>
          <w:color w:val="auto"/>
        </w:rPr>
        <w:t>业务架构</w:t>
      </w:r>
      <w:r>
        <w:rPr>
          <w:color w:val="auto"/>
        </w:rPr>
        <w:t>：描述虚拟电厂参与需求响应、辅助服务交易等业务的流程与模式，明确与电网公司、用户的业务交互关系。</w:t>
      </w:r>
    </w:p>
    <w:p w14:paraId="55005DE1">
      <w:pPr>
        <w:pStyle w:val="11"/>
        <w:widowControl/>
        <w:numPr>
          <w:ilvl w:val="0"/>
          <w:numId w:val="6"/>
        </w:numPr>
        <w:ind w:left="0" w:leftChars="0" w:firstLine="480" w:firstLineChars="0"/>
        <w:rPr>
          <w:b w:val="0"/>
          <w:color w:val="auto"/>
        </w:rPr>
      </w:pPr>
      <w:r>
        <w:rPr>
          <w:b/>
          <w:color w:val="auto"/>
        </w:rPr>
        <w:t>功能架构</w:t>
      </w:r>
      <w:r>
        <w:rPr>
          <w:color w:val="auto"/>
        </w:rPr>
        <w:t>：详细说明用户管理、资源管理、运行控制、市场交易等功能模块的具体实现方式及交互逻辑。</w:t>
      </w:r>
    </w:p>
    <w:p w14:paraId="62E326C9">
      <w:pPr>
        <w:pStyle w:val="11"/>
        <w:widowControl/>
        <w:numPr>
          <w:ilvl w:val="0"/>
          <w:numId w:val="6"/>
        </w:numPr>
        <w:ind w:left="0" w:leftChars="0" w:firstLine="480" w:firstLineChars="0"/>
        <w:rPr>
          <w:b w:val="0"/>
          <w:color w:val="auto"/>
        </w:rPr>
      </w:pPr>
      <w:r>
        <w:rPr>
          <w:b/>
          <w:color w:val="auto"/>
        </w:rPr>
        <w:t>系统架构</w:t>
      </w:r>
      <w:r>
        <w:rPr>
          <w:color w:val="auto"/>
        </w:rPr>
        <w:t>：阐述平台的软件部署架构、硬件设备配置及网络拓扑结构，包括服务器、存储设备、网络设备等的规格与部署方式。</w:t>
      </w:r>
    </w:p>
    <w:p w14:paraId="62BEA357">
      <w:pPr>
        <w:pStyle w:val="11"/>
        <w:widowControl/>
        <w:numPr>
          <w:ilvl w:val="0"/>
          <w:numId w:val="6"/>
        </w:numPr>
        <w:ind w:left="0" w:leftChars="0" w:firstLine="480" w:firstLineChars="0"/>
        <w:rPr>
          <w:b w:val="0"/>
          <w:color w:val="auto"/>
        </w:rPr>
      </w:pPr>
      <w:r>
        <w:rPr>
          <w:b/>
          <w:color w:val="auto"/>
        </w:rPr>
        <w:t>数据架构</w:t>
      </w:r>
      <w:r>
        <w:rPr>
          <w:color w:val="auto"/>
        </w:rPr>
        <w:t>：明确数据采集、存储、处理、传输的全流程架构，包括数据库选型、数据模型设计、数据流转路径等。</w:t>
      </w:r>
    </w:p>
    <w:p w14:paraId="757EB03D">
      <w:pPr>
        <w:pStyle w:val="11"/>
        <w:widowControl/>
        <w:numPr>
          <w:ilvl w:val="0"/>
          <w:numId w:val="6"/>
        </w:numPr>
        <w:ind w:left="0" w:leftChars="0" w:firstLine="480" w:firstLineChars="0"/>
        <w:rPr>
          <w:b w:val="0"/>
          <w:color w:val="auto"/>
        </w:rPr>
      </w:pPr>
      <w:r>
        <w:rPr>
          <w:b/>
          <w:color w:val="auto"/>
        </w:rPr>
        <w:t>技术架构</w:t>
      </w:r>
      <w:r>
        <w:rPr>
          <w:color w:val="auto"/>
        </w:rPr>
        <w:t>：说明平台采用的技术框架、开发语言、中间件等技术组件，以及关键技术实现方案（如分布式计算、大数据分析等）。</w:t>
      </w:r>
    </w:p>
    <w:p w14:paraId="67FEF703">
      <w:pPr>
        <w:pStyle w:val="11"/>
        <w:widowControl/>
        <w:numPr>
          <w:ilvl w:val="0"/>
          <w:numId w:val="6"/>
        </w:numPr>
        <w:ind w:left="0" w:leftChars="0" w:firstLine="480" w:firstLineChars="0"/>
        <w:rPr>
          <w:b w:val="0"/>
          <w:color w:val="auto"/>
        </w:rPr>
      </w:pPr>
      <w:r>
        <w:rPr>
          <w:b/>
          <w:color w:val="auto"/>
        </w:rPr>
        <w:t>安全架构</w:t>
      </w:r>
      <w:r>
        <w:rPr>
          <w:color w:val="auto"/>
        </w:rPr>
        <w:t>：描述平台的信息安全防护体系，包括网络安全、系统安全、数据安全、应用安全等方面的措施，如防火墙部署、数据加密、身份认证等。</w:t>
      </w:r>
    </w:p>
    <w:p w14:paraId="77D1562E">
      <w:pPr>
        <w:pStyle w:val="3"/>
        <w:widowControl/>
        <w:numPr>
          <w:ilvl w:val="0"/>
          <w:numId w:val="5"/>
        </w:numPr>
        <w:topLinePunct w:val="0"/>
        <w:ind w:left="0" w:leftChars="0" w:firstLine="0" w:firstLineChars="0"/>
        <w:rPr>
          <w:rFonts w:hint="eastAsia" w:ascii="黑体" w:hAnsi="黑体" w:eastAsia="黑体" w:cs="黑体"/>
          <w:b w:val="0"/>
          <w:color w:val="auto"/>
        </w:rPr>
      </w:pPr>
      <w:r>
        <w:rPr>
          <w:color w:val="auto"/>
        </w:rPr>
        <w:t>功能介绍文档</w:t>
      </w:r>
    </w:p>
    <w:p w14:paraId="7497AF0C">
      <w:pPr>
        <w:pStyle w:val="11"/>
        <w:widowControl/>
        <w:rPr>
          <w:rFonts w:hint="eastAsia" w:eastAsia="宋体"/>
          <w:color w:val="auto"/>
          <w:lang w:eastAsia="zh-CN"/>
        </w:rPr>
      </w:pPr>
      <w:r>
        <w:rPr>
          <w:color w:val="auto"/>
        </w:rPr>
        <w:t>详细说明运营商平台各功能模块的操作流程、输入输出要求及预期效果，结合具体业务场景举例说明平台的实际应用方式。</w:t>
      </w:r>
    </w:p>
    <w:p w14:paraId="2C9A963C">
      <w:pPr>
        <w:pStyle w:val="3"/>
        <w:widowControl/>
        <w:numPr>
          <w:ilvl w:val="0"/>
          <w:numId w:val="5"/>
        </w:numPr>
        <w:topLinePunct w:val="0"/>
        <w:ind w:left="0" w:leftChars="0" w:firstLine="0" w:firstLineChars="0"/>
        <w:rPr>
          <w:color w:val="auto"/>
        </w:rPr>
      </w:pPr>
      <w:r>
        <w:rPr>
          <w:rFonts w:hint="eastAsia"/>
          <w:color w:val="auto"/>
          <w:lang w:val="en-US" w:eastAsia="zh-CN"/>
        </w:rPr>
        <w:t>第三方测评报告</w:t>
      </w:r>
    </w:p>
    <w:p w14:paraId="45AB7640">
      <w:pPr>
        <w:pStyle w:val="11"/>
        <w:widowControl/>
        <w:rPr>
          <w:rFonts w:hint="default" w:eastAsia="宋体"/>
          <w:color w:val="auto"/>
          <w:lang w:val="en-US" w:eastAsia="zh-CN"/>
        </w:rPr>
      </w:pPr>
      <w:r>
        <w:rPr>
          <w:rFonts w:hint="eastAsia"/>
          <w:color w:val="auto"/>
          <w:lang w:val="en-US" w:eastAsia="zh-CN"/>
        </w:rPr>
        <w:t>需提交具备由CNAS或CMA资质的第三方软件测评</w:t>
      </w:r>
      <w:bookmarkStart w:id="0" w:name="_GoBack"/>
      <w:bookmarkEnd w:id="0"/>
      <w:r>
        <w:rPr>
          <w:rFonts w:hint="eastAsia"/>
          <w:color w:val="auto"/>
          <w:lang w:val="en-US" w:eastAsia="zh-CN"/>
        </w:rPr>
        <w:t>机构出具的功能测评报告。</w:t>
      </w:r>
    </w:p>
    <w:p w14:paraId="413A938A">
      <w:pPr>
        <w:pStyle w:val="3"/>
        <w:widowControl/>
        <w:numPr>
          <w:ilvl w:val="0"/>
          <w:numId w:val="5"/>
        </w:numPr>
        <w:topLinePunct w:val="0"/>
        <w:ind w:left="0" w:leftChars="0" w:firstLine="0" w:firstLineChars="0"/>
        <w:rPr>
          <w:rFonts w:hint="eastAsia" w:ascii="黑体" w:hAnsi="黑体" w:eastAsia="黑体" w:cs="黑体"/>
          <w:b w:val="0"/>
          <w:color w:val="auto"/>
        </w:rPr>
      </w:pPr>
      <w:r>
        <w:rPr>
          <w:color w:val="auto"/>
        </w:rPr>
        <w:t>首批资源档案模板</w:t>
      </w:r>
    </w:p>
    <w:p w14:paraId="70B513E0">
      <w:pPr>
        <w:pStyle w:val="21"/>
        <w:rPr>
          <w:color w:val="auto"/>
        </w:rPr>
      </w:pPr>
    </w:p>
    <w:tbl>
      <w:tblPr>
        <w:tblStyle w:val="15"/>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 w:type="dxa"/>
          <w:bottom w:w="0" w:type="dxa"/>
          <w:right w:w="10" w:type="dxa"/>
        </w:tblCellMar>
      </w:tblPr>
      <w:tblGrid>
        <w:gridCol w:w="4633"/>
        <w:gridCol w:w="4633"/>
      </w:tblGrid>
      <w:tr w14:paraId="09092A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760" w:type="dxa"/>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vAlign w:val="top"/>
          </w:tcPr>
          <w:p w14:paraId="1D914FE6">
            <w:pPr>
              <w:pStyle w:val="21"/>
              <w:rPr>
                <w:color w:val="auto"/>
              </w:rPr>
            </w:pPr>
            <w:r>
              <w:rPr>
                <w:b/>
                <w:bCs/>
                <w:color w:val="auto"/>
              </w:rPr>
              <w:t>类别</w:t>
            </w:r>
          </w:p>
        </w:tc>
        <w:tc>
          <w:tcPr>
            <w:tcW w:w="2760" w:type="dxa"/>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vAlign w:val="top"/>
          </w:tcPr>
          <w:p w14:paraId="328FC9C8">
            <w:pPr>
              <w:pStyle w:val="21"/>
              <w:rPr>
                <w:color w:val="auto"/>
              </w:rPr>
            </w:pPr>
            <w:r>
              <w:rPr>
                <w:b/>
                <w:bCs/>
                <w:color w:val="auto"/>
              </w:rPr>
              <w:t>具体内容</w:t>
            </w:r>
          </w:p>
        </w:tc>
      </w:tr>
      <w:tr w14:paraId="6E6024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2760" w:type="dxa"/>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vAlign w:val="top"/>
          </w:tcPr>
          <w:p w14:paraId="28A2523F">
            <w:pPr>
              <w:pStyle w:val="21"/>
              <w:rPr>
                <w:rFonts w:hint="eastAsia" w:eastAsia="等线"/>
                <w:color w:val="auto"/>
                <w:lang w:eastAsia="zh-CN"/>
              </w:rPr>
            </w:pPr>
            <w:r>
              <w:rPr>
                <w:color w:val="auto"/>
              </w:rPr>
              <w:t>虚拟电厂信息</w:t>
            </w:r>
          </w:p>
        </w:tc>
        <w:tc>
          <w:tcPr>
            <w:tcW w:w="2760" w:type="dxa"/>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vAlign w:val="top"/>
          </w:tcPr>
          <w:p w14:paraId="6D60F462">
            <w:pPr>
              <w:pStyle w:val="21"/>
              <w:rPr>
                <w:rFonts w:hint="eastAsia" w:eastAsia="等线"/>
                <w:color w:val="auto"/>
                <w:lang w:eastAsia="zh-CN"/>
              </w:rPr>
            </w:pPr>
            <w:r>
              <w:rPr>
                <w:color w:val="auto"/>
              </w:rPr>
              <w:t>虚拟电厂标识、名称、运营商全称、统一社会信用代码</w:t>
            </w:r>
            <w:r>
              <w:rPr>
                <w:rFonts w:hint="eastAsia"/>
                <w:color w:val="auto"/>
                <w:lang w:eastAsia="zh-CN"/>
              </w:rPr>
              <w:t>、</w:t>
            </w:r>
            <w:r>
              <w:rPr>
                <w:rFonts w:hint="eastAsia"/>
                <w:color w:val="auto"/>
                <w:lang w:val="en-US" w:eastAsia="zh-CN"/>
              </w:rPr>
              <w:t>售电资质</w:t>
            </w:r>
            <w:r>
              <w:rPr>
                <w:color w:val="auto"/>
              </w:rPr>
              <w:t>、所在区域、联系人及联系方式等。</w:t>
            </w:r>
          </w:p>
        </w:tc>
      </w:tr>
      <w:tr w14:paraId="0E6AA5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2760" w:type="dxa"/>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vAlign w:val="top"/>
          </w:tcPr>
          <w:p w14:paraId="347D2A52">
            <w:pPr>
              <w:pStyle w:val="21"/>
              <w:rPr>
                <w:rFonts w:hint="eastAsia" w:eastAsia="等线"/>
                <w:color w:val="auto"/>
                <w:lang w:eastAsia="zh-CN"/>
              </w:rPr>
            </w:pPr>
            <w:r>
              <w:rPr>
                <w:color w:val="auto"/>
              </w:rPr>
              <w:t>下属资源信息</w:t>
            </w:r>
          </w:p>
        </w:tc>
        <w:tc>
          <w:tcPr>
            <w:tcW w:w="2760" w:type="dxa"/>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vAlign w:val="top"/>
          </w:tcPr>
          <w:p w14:paraId="5EFCDBE1">
            <w:pPr>
              <w:pStyle w:val="21"/>
              <w:rPr>
                <w:rFonts w:hint="eastAsia" w:eastAsia="等线"/>
                <w:color w:val="auto"/>
                <w:lang w:eastAsia="zh-CN"/>
              </w:rPr>
            </w:pPr>
            <w:r>
              <w:rPr>
                <w:color w:val="auto"/>
              </w:rPr>
              <w:t>资源标识、名称、类型、用电户号、所属供电公司、最大上下调容量、额定功率、所属虚拟电厂、并网变电站及馈线、所属行政地区、配电台区、地理位置等。</w:t>
            </w:r>
          </w:p>
        </w:tc>
      </w:tr>
      <w:tr w14:paraId="7690C0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2760" w:type="dxa"/>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vAlign w:val="top"/>
          </w:tcPr>
          <w:p w14:paraId="71D974A5">
            <w:pPr>
              <w:pStyle w:val="21"/>
              <w:rPr>
                <w:rFonts w:hint="eastAsia" w:eastAsia="等线"/>
                <w:color w:val="auto"/>
                <w:lang w:eastAsia="zh-CN"/>
              </w:rPr>
            </w:pPr>
            <w:r>
              <w:rPr>
                <w:color w:val="auto"/>
              </w:rPr>
              <w:t>分路资源信息</w:t>
            </w:r>
          </w:p>
        </w:tc>
        <w:tc>
          <w:tcPr>
            <w:tcW w:w="2760" w:type="dxa"/>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vAlign w:val="top"/>
          </w:tcPr>
          <w:p w14:paraId="7CF47CF5">
            <w:pPr>
              <w:pStyle w:val="21"/>
              <w:rPr>
                <w:rFonts w:hint="eastAsia" w:eastAsia="等线"/>
                <w:color w:val="auto"/>
                <w:lang w:eastAsia="zh-CN"/>
              </w:rPr>
            </w:pPr>
            <w:r>
              <w:rPr>
                <w:color w:val="auto"/>
              </w:rPr>
              <w:t>分路资源标识、名称、所属用户营销户号、电压等级、类型等。</w:t>
            </w:r>
          </w:p>
        </w:tc>
      </w:tr>
    </w:tbl>
    <w:p w14:paraId="48FEDC73">
      <w:pPr>
        <w:pStyle w:val="3"/>
        <w:widowControl/>
        <w:numPr>
          <w:ilvl w:val="0"/>
          <w:numId w:val="5"/>
        </w:numPr>
        <w:topLinePunct w:val="0"/>
        <w:ind w:left="0" w:leftChars="0" w:firstLine="0" w:firstLineChars="0"/>
        <w:rPr>
          <w:rFonts w:hint="eastAsia" w:ascii="黑体" w:hAnsi="黑体" w:eastAsia="黑体" w:cs="黑体"/>
          <w:b w:val="0"/>
          <w:color w:val="auto"/>
        </w:rPr>
      </w:pPr>
      <w:r>
        <w:rPr>
          <w:color w:val="auto"/>
        </w:rPr>
        <w:t>签约协议</w:t>
      </w:r>
    </w:p>
    <w:p w14:paraId="345CE9DD">
      <w:pPr>
        <w:pStyle w:val="11"/>
        <w:widowControl/>
        <w:numPr>
          <w:ilvl w:val="0"/>
          <w:numId w:val="7"/>
        </w:numPr>
        <w:ind w:left="0" w:leftChars="0" w:firstLine="480" w:firstLineChars="0"/>
        <w:rPr>
          <w:b w:val="0"/>
          <w:color w:val="auto"/>
        </w:rPr>
      </w:pPr>
      <w:r>
        <w:rPr>
          <w:b/>
          <w:color w:val="auto"/>
        </w:rPr>
        <w:t>需求响应合作协议</w:t>
      </w:r>
      <w:r>
        <w:rPr>
          <w:color w:val="auto"/>
        </w:rPr>
        <w:t>：应包含响应时段、响应容量、响应方式、补偿标准、双方权利义务及违约责任等条款。</w:t>
      </w:r>
    </w:p>
    <w:p w14:paraId="365B9333">
      <w:pPr>
        <w:pStyle w:val="11"/>
        <w:widowControl/>
        <w:numPr>
          <w:ilvl w:val="0"/>
          <w:numId w:val="7"/>
        </w:numPr>
        <w:ind w:left="0" w:leftChars="0" w:firstLine="480" w:firstLineChars="0"/>
        <w:rPr>
          <w:rFonts w:hint="eastAsia" w:eastAsia="宋体"/>
          <w:color w:val="auto"/>
          <w:lang w:eastAsia="zh-CN"/>
        </w:rPr>
      </w:pPr>
      <w:r>
        <w:rPr>
          <w:b/>
          <w:color w:val="auto"/>
        </w:rPr>
        <w:t>需求响应聚合协议</w:t>
      </w:r>
      <w:r>
        <w:rPr>
          <w:color w:val="auto"/>
        </w:rPr>
        <w:t>：明确聚合资源的范围、聚合方式、收益分配机制、调度指令执行要求等内容。</w:t>
      </w:r>
    </w:p>
    <w:p w14:paraId="68DD85F9">
      <w:pPr>
        <w:pStyle w:val="11"/>
        <w:widowControl/>
        <w:numPr>
          <w:ilvl w:val="0"/>
          <w:numId w:val="7"/>
        </w:numPr>
        <w:ind w:left="0" w:leftChars="0" w:firstLine="480" w:firstLineChars="0"/>
        <w:rPr>
          <w:rFonts w:hint="eastAsia" w:eastAsia="宋体"/>
          <w:color w:val="auto"/>
          <w:lang w:eastAsia="zh-CN"/>
        </w:rPr>
      </w:pPr>
      <w:r>
        <w:rPr>
          <w:rFonts w:hint="eastAsia"/>
          <w:b/>
          <w:bCs/>
          <w:color w:val="auto"/>
          <w:lang w:val="en-US" w:eastAsia="zh-CN"/>
        </w:rPr>
        <w:t>协议合规要求：</w:t>
      </w:r>
      <w:r>
        <w:rPr>
          <w:rFonts w:hint="eastAsia"/>
          <w:color w:val="auto"/>
          <w:lang w:val="en-US" w:eastAsia="zh-CN"/>
        </w:rPr>
        <w:t>协议文本填写完整（如订立时间、有效期等）、签章完整清晰。合作协议的签约能力以中长期至不通知等各类场景递减方式填写。</w:t>
      </w:r>
    </w:p>
    <w:p w14:paraId="2B94D230">
      <w:pPr>
        <w:pStyle w:val="11"/>
        <w:widowControl/>
        <w:numPr>
          <w:ilvl w:val="0"/>
          <w:numId w:val="0"/>
        </w:numPr>
        <w:adjustRightInd w:val="0"/>
        <w:spacing w:before="100" w:after="100" w:afterLines="0" w:afterAutospacing="0" w:line="300" w:lineRule="auto"/>
        <w:jc w:val="both"/>
        <w:rPr>
          <w:color w:val="auto"/>
        </w:rPr>
      </w:pPr>
    </w:p>
    <w:p w14:paraId="0818BA1E">
      <w:pPr>
        <w:pStyle w:val="2"/>
        <w:widowControl/>
        <w:numPr>
          <w:ilvl w:val="0"/>
          <w:numId w:val="1"/>
        </w:numPr>
        <w:topLinePunct w:val="0"/>
        <w:ind w:left="0" w:leftChars="0" w:firstLine="0" w:firstLineChars="0"/>
        <w:rPr>
          <w:rFonts w:hint="eastAsia"/>
        </w:rPr>
      </w:pPr>
      <w:r>
        <w:rPr>
          <w:rFonts w:hint="eastAsia" w:ascii="黑体" w:hAnsi="黑体" w:cs="黑体"/>
          <w:b w:val="0"/>
          <w:color w:val="auto"/>
          <w:lang w:val="en-US" w:eastAsia="zh-CN"/>
        </w:rPr>
        <w:t>附件</w:t>
      </w:r>
    </w:p>
    <w:p w14:paraId="2513BC47">
      <w:pPr>
        <w:pStyle w:val="11"/>
        <w:widowControl/>
        <w:rPr>
          <w:rFonts w:hint="default"/>
          <w:color w:val="auto"/>
          <w:lang w:val="en-US"/>
        </w:rPr>
      </w:pPr>
      <w:r>
        <w:rPr>
          <w:rFonts w:hint="eastAsia"/>
          <w:color w:val="auto"/>
          <w:lang w:val="en-US" w:eastAsia="zh-CN"/>
        </w:rPr>
        <w:t>详见附件-模板目录：</w:t>
      </w:r>
    </w:p>
    <w:p w14:paraId="1D27F792">
      <w:pPr>
        <w:pStyle w:val="11"/>
        <w:widowControl/>
        <w:numPr>
          <w:ilvl w:val="0"/>
          <w:numId w:val="8"/>
        </w:numPr>
        <w:adjustRightInd w:val="0"/>
        <w:spacing w:before="100" w:after="100" w:afterLines="0" w:afterAutospacing="0" w:line="300" w:lineRule="auto"/>
        <w:jc w:val="both"/>
        <w:rPr>
          <w:rFonts w:hint="eastAsia"/>
          <w:color w:val="auto"/>
          <w:lang w:val="en-US" w:eastAsia="zh-CN"/>
        </w:rPr>
      </w:pPr>
      <w:r>
        <w:rPr>
          <w:rFonts w:hint="eastAsia"/>
          <w:color w:val="auto"/>
          <w:lang w:val="en-US" w:eastAsia="zh-CN"/>
        </w:rPr>
        <w:t>虚拟电厂运营商档案模板</w:t>
      </w:r>
    </w:p>
    <w:p w14:paraId="749FA1F2">
      <w:pPr>
        <w:pStyle w:val="11"/>
        <w:widowControl/>
        <w:numPr>
          <w:ilvl w:val="0"/>
          <w:numId w:val="8"/>
        </w:numPr>
        <w:adjustRightInd w:val="0"/>
        <w:spacing w:before="100" w:after="100" w:afterLines="0" w:afterAutospacing="0" w:line="300" w:lineRule="auto"/>
        <w:jc w:val="both"/>
        <w:rPr>
          <w:rFonts w:hint="default"/>
          <w:color w:val="auto"/>
          <w:lang w:val="en-US" w:eastAsia="zh-CN"/>
        </w:rPr>
      </w:pPr>
      <w:r>
        <w:rPr>
          <w:rFonts w:hint="eastAsia"/>
          <w:color w:val="auto"/>
          <w:lang w:val="en-US" w:eastAsia="zh-CN"/>
        </w:rPr>
        <w:t>资源档案模板</w:t>
      </w:r>
    </w:p>
    <w:p w14:paraId="004300F2">
      <w:pPr>
        <w:pStyle w:val="11"/>
        <w:widowControl/>
        <w:numPr>
          <w:ilvl w:val="0"/>
          <w:numId w:val="8"/>
        </w:numPr>
        <w:adjustRightInd w:val="0"/>
        <w:spacing w:before="100" w:after="100" w:afterLines="0" w:afterAutospacing="0" w:line="300" w:lineRule="auto"/>
        <w:jc w:val="both"/>
        <w:rPr>
          <w:rFonts w:hint="default"/>
          <w:color w:val="auto"/>
          <w:lang w:val="en-US" w:eastAsia="zh-CN"/>
        </w:rPr>
      </w:pPr>
      <w:r>
        <w:rPr>
          <w:rFonts w:hint="eastAsia"/>
          <w:color w:val="auto"/>
          <w:lang w:val="en-US" w:eastAsia="zh-CN"/>
        </w:rPr>
        <w:t>协议提交文件样例</w:t>
      </w:r>
    </w:p>
    <w:sectPr>
      <w:pgSz w:w="11906" w:h="16838"/>
      <w:pgMar w:top="1440" w:right="1440" w:bottom="1440" w:left="1440" w:header="708" w:footer="708" w:gutter="0"/>
      <w:cols w:space="72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59F355A"/>
    <w:multiLevelType w:val="singleLevel"/>
    <w:tmpl w:val="859F355A"/>
    <w:lvl w:ilvl="0" w:tentative="0">
      <w:start w:val="1"/>
      <w:numFmt w:val="decimal"/>
      <w:suff w:val="space"/>
      <w:lvlText w:val="%1."/>
      <w:lvlJc w:val="left"/>
      <w:pPr>
        <w:ind w:left="0" w:firstLine="480"/>
      </w:pPr>
      <w:rPr>
        <w:rFonts w:hint="default"/>
      </w:rPr>
    </w:lvl>
  </w:abstractNum>
  <w:abstractNum w:abstractNumId="1">
    <w:nsid w:val="B65A7654"/>
    <w:multiLevelType w:val="singleLevel"/>
    <w:tmpl w:val="B65A7654"/>
    <w:lvl w:ilvl="0" w:tentative="0">
      <w:start w:val="1"/>
      <w:numFmt w:val="chineseCounting"/>
      <w:suff w:val="nothing"/>
      <w:lvlText w:val="（%1）"/>
      <w:lvlJc w:val="left"/>
      <w:pPr>
        <w:ind w:left="0" w:firstLine="0"/>
      </w:pPr>
      <w:rPr>
        <w:rFonts w:hint="eastAsia"/>
      </w:rPr>
    </w:lvl>
  </w:abstractNum>
  <w:abstractNum w:abstractNumId="2">
    <w:nsid w:val="FF742F7A"/>
    <w:multiLevelType w:val="singleLevel"/>
    <w:tmpl w:val="FF742F7A"/>
    <w:lvl w:ilvl="0" w:tentative="0">
      <w:start w:val="1"/>
      <w:numFmt w:val="decimal"/>
      <w:suff w:val="space"/>
      <w:lvlText w:val="%1."/>
      <w:lvlJc w:val="left"/>
      <w:pPr>
        <w:ind w:left="0" w:firstLine="480"/>
      </w:pPr>
      <w:rPr>
        <w:rFonts w:hint="default"/>
      </w:rPr>
    </w:lvl>
  </w:abstractNum>
  <w:abstractNum w:abstractNumId="3">
    <w:nsid w:val="0BAA0E48"/>
    <w:multiLevelType w:val="singleLevel"/>
    <w:tmpl w:val="0BAA0E48"/>
    <w:lvl w:ilvl="0" w:tentative="0">
      <w:start w:val="1"/>
      <w:numFmt w:val="chineseCounting"/>
      <w:suff w:val="nothing"/>
      <w:lvlText w:val="（%1）"/>
      <w:lvlJc w:val="left"/>
      <w:pPr>
        <w:ind w:left="0" w:firstLine="0"/>
      </w:pPr>
      <w:rPr>
        <w:rFonts w:hint="eastAsia"/>
      </w:rPr>
    </w:lvl>
  </w:abstractNum>
  <w:abstractNum w:abstractNumId="4">
    <w:nsid w:val="1A3CDCF6"/>
    <w:multiLevelType w:val="singleLevel"/>
    <w:tmpl w:val="1A3CDCF6"/>
    <w:lvl w:ilvl="0" w:tentative="0">
      <w:start w:val="1"/>
      <w:numFmt w:val="chineseCounting"/>
      <w:suff w:val="nothing"/>
      <w:lvlText w:val="%1、"/>
      <w:lvlJc w:val="left"/>
      <w:pPr>
        <w:ind w:left="0" w:firstLine="0"/>
      </w:pPr>
      <w:rPr>
        <w:rFonts w:hint="eastAsia"/>
      </w:rPr>
    </w:lvl>
  </w:abstractNum>
  <w:abstractNum w:abstractNumId="5">
    <w:nsid w:val="6072F455"/>
    <w:multiLevelType w:val="singleLevel"/>
    <w:tmpl w:val="6072F455"/>
    <w:lvl w:ilvl="0" w:tentative="0">
      <w:start w:val="1"/>
      <w:numFmt w:val="decimal"/>
      <w:suff w:val="nothing"/>
      <w:lvlText w:val="%1、"/>
      <w:lvlJc w:val="left"/>
    </w:lvl>
  </w:abstractNum>
  <w:abstractNum w:abstractNumId="6">
    <w:nsid w:val="6A729E8B"/>
    <w:multiLevelType w:val="singleLevel"/>
    <w:tmpl w:val="6A729E8B"/>
    <w:lvl w:ilvl="0" w:tentative="0">
      <w:start w:val="1"/>
      <w:numFmt w:val="decimal"/>
      <w:suff w:val="space"/>
      <w:lvlText w:val="%1."/>
      <w:lvlJc w:val="left"/>
      <w:pPr>
        <w:ind w:left="0" w:firstLine="480"/>
      </w:pPr>
      <w:rPr>
        <w:rFonts w:hint="default"/>
      </w:rPr>
    </w:lvl>
  </w:abstractNum>
  <w:abstractNum w:abstractNumId="7">
    <w:nsid w:val="781C914D"/>
    <w:multiLevelType w:val="singleLevel"/>
    <w:tmpl w:val="781C914D"/>
    <w:lvl w:ilvl="0" w:tentative="0">
      <w:start w:val="1"/>
      <w:numFmt w:val="decimal"/>
      <w:suff w:val="space"/>
      <w:lvlText w:val="%1."/>
      <w:lvlJc w:val="left"/>
      <w:pPr>
        <w:ind w:left="0" w:firstLine="480"/>
      </w:pPr>
      <w:rPr>
        <w:rFonts w:hint="default"/>
      </w:rPr>
    </w:lvl>
  </w:abstractNum>
  <w:num w:numId="1">
    <w:abstractNumId w:val="4"/>
  </w:num>
  <w:num w:numId="2">
    <w:abstractNumId w:val="1"/>
  </w:num>
  <w:num w:numId="3">
    <w:abstractNumId w:val="2"/>
  </w:num>
  <w:num w:numId="4">
    <w:abstractNumId w:val="0"/>
  </w:num>
  <w:num w:numId="5">
    <w:abstractNumId w:val="3"/>
  </w:num>
  <w:num w:numId="6">
    <w:abstractNumId w:val="6"/>
  </w:num>
  <w:num w:numId="7">
    <w:abstractNumId w:val="7"/>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displayBackgroundShape w:val="1"/>
  <w:documentProtection w:enforcement="0"/>
  <w:compat>
    <w:useFELayout/>
    <w:compatSetting w:name="compatibilityMode" w:uri="http://schemas.microsoft.com/office/word" w:val="15"/>
  </w:compat>
  <w:rsids>
    <w:rsidRoot w:val="00000000"/>
    <w:rsid w:val="004E0863"/>
    <w:rsid w:val="006836D3"/>
    <w:rsid w:val="009A6226"/>
    <w:rsid w:val="028265A2"/>
    <w:rsid w:val="02B0310F"/>
    <w:rsid w:val="037E2237"/>
    <w:rsid w:val="03A04F32"/>
    <w:rsid w:val="03FA2127"/>
    <w:rsid w:val="04826D2E"/>
    <w:rsid w:val="04E946B7"/>
    <w:rsid w:val="051E7C51"/>
    <w:rsid w:val="057E74F5"/>
    <w:rsid w:val="05850883"/>
    <w:rsid w:val="05F11B6D"/>
    <w:rsid w:val="062260D2"/>
    <w:rsid w:val="06473D8B"/>
    <w:rsid w:val="064918B1"/>
    <w:rsid w:val="069F5975"/>
    <w:rsid w:val="06D66EBD"/>
    <w:rsid w:val="06EE5866"/>
    <w:rsid w:val="070659F4"/>
    <w:rsid w:val="074B78AB"/>
    <w:rsid w:val="078608E3"/>
    <w:rsid w:val="07ED44BE"/>
    <w:rsid w:val="09947D10"/>
    <w:rsid w:val="09C2451D"/>
    <w:rsid w:val="09D75426"/>
    <w:rsid w:val="0A2E773B"/>
    <w:rsid w:val="0B1C3A38"/>
    <w:rsid w:val="0B6220A5"/>
    <w:rsid w:val="0B640F3B"/>
    <w:rsid w:val="0B7026D3"/>
    <w:rsid w:val="0BDC31C7"/>
    <w:rsid w:val="0D044784"/>
    <w:rsid w:val="0D2766C4"/>
    <w:rsid w:val="0D554381"/>
    <w:rsid w:val="0D732BFC"/>
    <w:rsid w:val="0D7F205C"/>
    <w:rsid w:val="0F1F3AF7"/>
    <w:rsid w:val="0F4F04B2"/>
    <w:rsid w:val="0FDC7DD6"/>
    <w:rsid w:val="0FE6364E"/>
    <w:rsid w:val="10703EDE"/>
    <w:rsid w:val="108654B0"/>
    <w:rsid w:val="109410AC"/>
    <w:rsid w:val="10F644F5"/>
    <w:rsid w:val="112371A2"/>
    <w:rsid w:val="11390774"/>
    <w:rsid w:val="11880A5B"/>
    <w:rsid w:val="11A46DDB"/>
    <w:rsid w:val="11C269BB"/>
    <w:rsid w:val="11CE2300"/>
    <w:rsid w:val="13167D62"/>
    <w:rsid w:val="143F2545"/>
    <w:rsid w:val="144B722E"/>
    <w:rsid w:val="149C7998"/>
    <w:rsid w:val="15140C5F"/>
    <w:rsid w:val="160475A2"/>
    <w:rsid w:val="16663DB9"/>
    <w:rsid w:val="168129A1"/>
    <w:rsid w:val="17255A22"/>
    <w:rsid w:val="17914E66"/>
    <w:rsid w:val="17B15508"/>
    <w:rsid w:val="17F05494"/>
    <w:rsid w:val="18787DD4"/>
    <w:rsid w:val="18BD6DA5"/>
    <w:rsid w:val="1AC90DBB"/>
    <w:rsid w:val="1BA55384"/>
    <w:rsid w:val="1C8F3083"/>
    <w:rsid w:val="1CA55E9F"/>
    <w:rsid w:val="1D012FF4"/>
    <w:rsid w:val="1D1125A5"/>
    <w:rsid w:val="1D4B5AB7"/>
    <w:rsid w:val="1D526E45"/>
    <w:rsid w:val="1E5170FD"/>
    <w:rsid w:val="1E682698"/>
    <w:rsid w:val="1EDB2E6A"/>
    <w:rsid w:val="1F631758"/>
    <w:rsid w:val="1FA85442"/>
    <w:rsid w:val="21026DD4"/>
    <w:rsid w:val="211663DC"/>
    <w:rsid w:val="213B02EA"/>
    <w:rsid w:val="21F72CD7"/>
    <w:rsid w:val="21F77FBB"/>
    <w:rsid w:val="22296969"/>
    <w:rsid w:val="23607DE2"/>
    <w:rsid w:val="23BF3127"/>
    <w:rsid w:val="242B219E"/>
    <w:rsid w:val="24A11E7B"/>
    <w:rsid w:val="26235823"/>
    <w:rsid w:val="266320C3"/>
    <w:rsid w:val="276E40BC"/>
    <w:rsid w:val="27F07987"/>
    <w:rsid w:val="282B6C11"/>
    <w:rsid w:val="28AD1D1C"/>
    <w:rsid w:val="28B300EB"/>
    <w:rsid w:val="28CD4B54"/>
    <w:rsid w:val="28E62B38"/>
    <w:rsid w:val="29424212"/>
    <w:rsid w:val="2AAB5DE7"/>
    <w:rsid w:val="2B6A7A50"/>
    <w:rsid w:val="2BE16868"/>
    <w:rsid w:val="2C0A4D8F"/>
    <w:rsid w:val="2C720871"/>
    <w:rsid w:val="2D4D13D7"/>
    <w:rsid w:val="2D7E58B0"/>
    <w:rsid w:val="2E183793"/>
    <w:rsid w:val="2ECE479A"/>
    <w:rsid w:val="2EF44200"/>
    <w:rsid w:val="2F77098D"/>
    <w:rsid w:val="30151217"/>
    <w:rsid w:val="30640F12"/>
    <w:rsid w:val="30967D5E"/>
    <w:rsid w:val="309D61D2"/>
    <w:rsid w:val="30FD3FCA"/>
    <w:rsid w:val="311E517C"/>
    <w:rsid w:val="314F1BC2"/>
    <w:rsid w:val="315F792B"/>
    <w:rsid w:val="317B29B7"/>
    <w:rsid w:val="318F0B32"/>
    <w:rsid w:val="332D5F33"/>
    <w:rsid w:val="3498562E"/>
    <w:rsid w:val="34AE6BFF"/>
    <w:rsid w:val="34DF500B"/>
    <w:rsid w:val="34EC3BCC"/>
    <w:rsid w:val="351F381C"/>
    <w:rsid w:val="35260E8C"/>
    <w:rsid w:val="35661288"/>
    <w:rsid w:val="35B9585C"/>
    <w:rsid w:val="361E6007"/>
    <w:rsid w:val="365E7F82"/>
    <w:rsid w:val="36853990"/>
    <w:rsid w:val="369736C3"/>
    <w:rsid w:val="36A16DF6"/>
    <w:rsid w:val="36EE5699"/>
    <w:rsid w:val="37C4673A"/>
    <w:rsid w:val="37E82428"/>
    <w:rsid w:val="37F77868"/>
    <w:rsid w:val="38591578"/>
    <w:rsid w:val="38DF4355"/>
    <w:rsid w:val="39916AF0"/>
    <w:rsid w:val="39A700C1"/>
    <w:rsid w:val="39F03816"/>
    <w:rsid w:val="3A1D7D60"/>
    <w:rsid w:val="3AA2060C"/>
    <w:rsid w:val="3AE25A4F"/>
    <w:rsid w:val="3AEC0481"/>
    <w:rsid w:val="3B8A779A"/>
    <w:rsid w:val="3CAF5014"/>
    <w:rsid w:val="3CD70CBD"/>
    <w:rsid w:val="3E9F580B"/>
    <w:rsid w:val="3F50359F"/>
    <w:rsid w:val="40355211"/>
    <w:rsid w:val="40E13EB9"/>
    <w:rsid w:val="40FC5196"/>
    <w:rsid w:val="415B1EBD"/>
    <w:rsid w:val="43993170"/>
    <w:rsid w:val="444D2A0A"/>
    <w:rsid w:val="447A08AC"/>
    <w:rsid w:val="449A71A0"/>
    <w:rsid w:val="456D6663"/>
    <w:rsid w:val="459C0CF6"/>
    <w:rsid w:val="45BB5620"/>
    <w:rsid w:val="45CD7101"/>
    <w:rsid w:val="45E83F3B"/>
    <w:rsid w:val="46C95B1B"/>
    <w:rsid w:val="46F34946"/>
    <w:rsid w:val="471843AC"/>
    <w:rsid w:val="472D42FC"/>
    <w:rsid w:val="478C1DFB"/>
    <w:rsid w:val="47AA14A8"/>
    <w:rsid w:val="47C44B0B"/>
    <w:rsid w:val="48A60735"/>
    <w:rsid w:val="48D3130D"/>
    <w:rsid w:val="49016611"/>
    <w:rsid w:val="49703FF5"/>
    <w:rsid w:val="49877552"/>
    <w:rsid w:val="49D92519"/>
    <w:rsid w:val="4A2917C1"/>
    <w:rsid w:val="4A301A0D"/>
    <w:rsid w:val="4A365275"/>
    <w:rsid w:val="4A5E47CC"/>
    <w:rsid w:val="4AAE5753"/>
    <w:rsid w:val="4AED2BD9"/>
    <w:rsid w:val="4B0A5C30"/>
    <w:rsid w:val="4B7F0E9E"/>
    <w:rsid w:val="4BDB4D6F"/>
    <w:rsid w:val="4C8D3AEE"/>
    <w:rsid w:val="4C912C37"/>
    <w:rsid w:val="4D072EF9"/>
    <w:rsid w:val="4D66563B"/>
    <w:rsid w:val="4D9D560B"/>
    <w:rsid w:val="4D9E2555"/>
    <w:rsid w:val="4E761435"/>
    <w:rsid w:val="4E922C96"/>
    <w:rsid w:val="4F4649D8"/>
    <w:rsid w:val="4F9D3F7B"/>
    <w:rsid w:val="501965C3"/>
    <w:rsid w:val="50222E67"/>
    <w:rsid w:val="502A3255"/>
    <w:rsid w:val="50394A6C"/>
    <w:rsid w:val="50834F8C"/>
    <w:rsid w:val="50AD3DB7"/>
    <w:rsid w:val="510F6820"/>
    <w:rsid w:val="513F1A6B"/>
    <w:rsid w:val="517174DB"/>
    <w:rsid w:val="51A11B6E"/>
    <w:rsid w:val="523F4EE3"/>
    <w:rsid w:val="52B21B59"/>
    <w:rsid w:val="52D344EF"/>
    <w:rsid w:val="52DF0CB1"/>
    <w:rsid w:val="5311687F"/>
    <w:rsid w:val="53424C8B"/>
    <w:rsid w:val="534D3630"/>
    <w:rsid w:val="53672943"/>
    <w:rsid w:val="540006A2"/>
    <w:rsid w:val="54196DC8"/>
    <w:rsid w:val="546E385E"/>
    <w:rsid w:val="54C3004D"/>
    <w:rsid w:val="552503C0"/>
    <w:rsid w:val="558F1CDD"/>
    <w:rsid w:val="55F83D27"/>
    <w:rsid w:val="56562CA9"/>
    <w:rsid w:val="56AE2637"/>
    <w:rsid w:val="56BC6B02"/>
    <w:rsid w:val="56D41100"/>
    <w:rsid w:val="56DD18C2"/>
    <w:rsid w:val="572140E8"/>
    <w:rsid w:val="574D00A2"/>
    <w:rsid w:val="587C29ED"/>
    <w:rsid w:val="59230024"/>
    <w:rsid w:val="5A0A5DD6"/>
    <w:rsid w:val="5A7B0A82"/>
    <w:rsid w:val="5A9C1B97"/>
    <w:rsid w:val="5ADC59C5"/>
    <w:rsid w:val="5B865931"/>
    <w:rsid w:val="5B8B55F4"/>
    <w:rsid w:val="5B8C73EB"/>
    <w:rsid w:val="5DD47E86"/>
    <w:rsid w:val="5E6B3746"/>
    <w:rsid w:val="5EE44E48"/>
    <w:rsid w:val="5EEC01A1"/>
    <w:rsid w:val="5F1D65AC"/>
    <w:rsid w:val="5F357D99"/>
    <w:rsid w:val="5F3A0F0C"/>
    <w:rsid w:val="5F751F44"/>
    <w:rsid w:val="5F8D54E0"/>
    <w:rsid w:val="5FDC0215"/>
    <w:rsid w:val="608E5D98"/>
    <w:rsid w:val="60DD4245"/>
    <w:rsid w:val="61120875"/>
    <w:rsid w:val="61785D1C"/>
    <w:rsid w:val="61B82146"/>
    <w:rsid w:val="61D26EF9"/>
    <w:rsid w:val="62377985"/>
    <w:rsid w:val="62A80882"/>
    <w:rsid w:val="63360C3B"/>
    <w:rsid w:val="637349EC"/>
    <w:rsid w:val="63796E1F"/>
    <w:rsid w:val="6477050C"/>
    <w:rsid w:val="65E9543A"/>
    <w:rsid w:val="66434B4A"/>
    <w:rsid w:val="66A650D9"/>
    <w:rsid w:val="676B07FC"/>
    <w:rsid w:val="679F4002"/>
    <w:rsid w:val="67F13356"/>
    <w:rsid w:val="68502506"/>
    <w:rsid w:val="687C2595"/>
    <w:rsid w:val="697B45FB"/>
    <w:rsid w:val="6A3D5D54"/>
    <w:rsid w:val="6A440E91"/>
    <w:rsid w:val="6A8D2838"/>
    <w:rsid w:val="6BD44496"/>
    <w:rsid w:val="6CB00A3A"/>
    <w:rsid w:val="6D9B5BF4"/>
    <w:rsid w:val="6EC35B23"/>
    <w:rsid w:val="6EC4452A"/>
    <w:rsid w:val="6EE07E44"/>
    <w:rsid w:val="6F912DCA"/>
    <w:rsid w:val="6FA23614"/>
    <w:rsid w:val="70394E7F"/>
    <w:rsid w:val="70837AF6"/>
    <w:rsid w:val="70F73101"/>
    <w:rsid w:val="721750DD"/>
    <w:rsid w:val="721E7B7A"/>
    <w:rsid w:val="727B566C"/>
    <w:rsid w:val="7303644A"/>
    <w:rsid w:val="739571F7"/>
    <w:rsid w:val="73C82B32"/>
    <w:rsid w:val="74017DF2"/>
    <w:rsid w:val="74147B26"/>
    <w:rsid w:val="744F6DB0"/>
    <w:rsid w:val="757C5983"/>
    <w:rsid w:val="759C7DD3"/>
    <w:rsid w:val="75A40B21"/>
    <w:rsid w:val="75D328F4"/>
    <w:rsid w:val="76120095"/>
    <w:rsid w:val="765E24F7"/>
    <w:rsid w:val="766D75CC"/>
    <w:rsid w:val="769907B6"/>
    <w:rsid w:val="76DE49AA"/>
    <w:rsid w:val="78544995"/>
    <w:rsid w:val="7A252A8D"/>
    <w:rsid w:val="7A5D3ADC"/>
    <w:rsid w:val="7AC676A0"/>
    <w:rsid w:val="7AD718AD"/>
    <w:rsid w:val="7AFA5C67"/>
    <w:rsid w:val="7BD1454E"/>
    <w:rsid w:val="7C0E7550"/>
    <w:rsid w:val="7C32323F"/>
    <w:rsid w:val="7CE3278B"/>
    <w:rsid w:val="7CF90201"/>
    <w:rsid w:val="7D0C2D12"/>
    <w:rsid w:val="7D761851"/>
    <w:rsid w:val="7E3C03A5"/>
    <w:rsid w:val="7E6671D0"/>
    <w:rsid w:val="7ECD724F"/>
    <w:rsid w:val="7F0013D2"/>
    <w:rsid w:val="7F5160D2"/>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iPriority="99"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qFormat="1" w:uiPriority="99"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sz w:val="21"/>
      <w:szCs w:val="22"/>
    </w:rPr>
  </w:style>
  <w:style w:type="paragraph" w:styleId="2">
    <w:name w:val="heading 1"/>
    <w:next w:val="1"/>
    <w:qFormat/>
    <w:uiPriority w:val="0"/>
    <w:pPr>
      <w:widowControl w:val="0"/>
      <w:adjustRightInd w:val="0"/>
      <w:spacing w:before="320" w:line="300" w:lineRule="auto"/>
      <w:jc w:val="both"/>
      <w:outlineLvl w:val="0"/>
    </w:pPr>
    <w:rPr>
      <w:rFonts w:ascii="Times New Roman" w:hAnsi="Times New Roman" w:eastAsia="黑体" w:cs="Times New Roman"/>
      <w:color w:val="000000"/>
      <w:kern w:val="44"/>
      <w:sz w:val="32"/>
      <w:szCs w:val="44"/>
      <w:lang w:bidi="ar-SA"/>
    </w:rPr>
  </w:style>
  <w:style w:type="paragraph" w:styleId="3">
    <w:name w:val="heading 2"/>
    <w:next w:val="1"/>
    <w:qFormat/>
    <w:uiPriority w:val="0"/>
    <w:pPr>
      <w:widowControl w:val="0"/>
      <w:adjustRightInd w:val="0"/>
      <w:spacing w:before="280" w:line="300" w:lineRule="auto"/>
      <w:jc w:val="both"/>
      <w:outlineLvl w:val="1"/>
    </w:pPr>
    <w:rPr>
      <w:rFonts w:ascii="Times New Roman" w:hAnsi="Times New Roman" w:eastAsia="黑体" w:cs="Times New Roman"/>
      <w:kern w:val="2"/>
      <w:sz w:val="30"/>
      <w:szCs w:val="32"/>
      <w:lang w:bidi="ar-SA"/>
    </w:rPr>
  </w:style>
  <w:style w:type="paragraph" w:styleId="4">
    <w:name w:val="heading 3"/>
    <w:next w:val="1"/>
    <w:qFormat/>
    <w:uiPriority w:val="0"/>
    <w:pPr>
      <w:keepNext/>
      <w:keepLines/>
      <w:widowControl w:val="0"/>
      <w:adjustRightInd w:val="0"/>
      <w:spacing w:before="240" w:line="300" w:lineRule="auto"/>
      <w:jc w:val="both"/>
      <w:outlineLvl w:val="2"/>
    </w:pPr>
    <w:rPr>
      <w:rFonts w:ascii="Times New Roman" w:hAnsi="Times New Roman" w:eastAsia="黑体" w:cs="Times New Roman"/>
      <w:kern w:val="2"/>
      <w:sz w:val="30"/>
      <w:szCs w:val="24"/>
      <w:lang w:bidi="ar-SA"/>
    </w:rPr>
  </w:style>
  <w:style w:type="paragraph" w:styleId="5">
    <w:name w:val="heading 4"/>
    <w:next w:val="1"/>
    <w:qFormat/>
    <w:uiPriority w:val="0"/>
    <w:pPr>
      <w:keepNext/>
      <w:keepLines/>
      <w:widowControl w:val="0"/>
      <w:adjustRightInd w:val="0"/>
      <w:spacing w:before="200" w:line="300" w:lineRule="auto"/>
      <w:jc w:val="both"/>
      <w:outlineLvl w:val="3"/>
    </w:pPr>
    <w:rPr>
      <w:rFonts w:ascii="Times New Roman" w:hAnsi="Times New Roman" w:eastAsia="黑体" w:cs="Times New Roman"/>
      <w:bCs/>
      <w:kern w:val="2"/>
      <w:sz w:val="28"/>
      <w:szCs w:val="28"/>
      <w:lang w:bidi="ar-SA"/>
    </w:rPr>
  </w:style>
  <w:style w:type="paragraph" w:styleId="6">
    <w:name w:val="heading 5"/>
    <w:next w:val="1"/>
    <w:qFormat/>
    <w:uiPriority w:val="0"/>
    <w:pPr>
      <w:keepNext/>
      <w:keepLines/>
      <w:widowControl w:val="0"/>
      <w:adjustRightInd w:val="0"/>
      <w:spacing w:before="160" w:line="300" w:lineRule="auto"/>
      <w:jc w:val="both"/>
      <w:outlineLvl w:val="4"/>
    </w:pPr>
    <w:rPr>
      <w:rFonts w:ascii="Times New Roman" w:hAnsi="Times New Roman" w:eastAsia="黑体" w:cs="Times New Roman"/>
      <w:bCs/>
      <w:kern w:val="2"/>
      <w:sz w:val="28"/>
      <w:szCs w:val="28"/>
      <w:lang w:bidi="ar-SA"/>
    </w:rPr>
  </w:style>
  <w:style w:type="paragraph" w:styleId="7">
    <w:name w:val="heading 6"/>
    <w:next w:val="1"/>
    <w:qFormat/>
    <w:uiPriority w:val="0"/>
    <w:pPr>
      <w:keepNext/>
      <w:keepLines/>
      <w:widowControl w:val="0"/>
      <w:adjustRightInd w:val="0"/>
      <w:spacing w:before="120" w:line="300" w:lineRule="auto"/>
      <w:jc w:val="both"/>
      <w:outlineLvl w:val="5"/>
    </w:pPr>
    <w:rPr>
      <w:rFonts w:ascii="Times New Roman" w:hAnsi="Times New Roman" w:eastAsia="黑体" w:cs="Times New Roman"/>
      <w:bCs/>
      <w:kern w:val="2"/>
      <w:sz w:val="28"/>
      <w:szCs w:val="24"/>
      <w:lang w:bidi="ar-SA"/>
    </w:rPr>
  </w:style>
  <w:style w:type="paragraph" w:styleId="8">
    <w:name w:val="heading 7"/>
    <w:next w:val="1"/>
    <w:semiHidden/>
    <w:unhideWhenUsed/>
    <w:qFormat/>
    <w:uiPriority w:val="0"/>
    <w:pPr>
      <w:keepNext/>
      <w:keepLines/>
      <w:widowControl w:val="0"/>
      <w:adjustRightInd w:val="0"/>
      <w:spacing w:before="120" w:line="300" w:lineRule="auto"/>
      <w:jc w:val="both"/>
      <w:outlineLvl w:val="6"/>
    </w:pPr>
    <w:rPr>
      <w:rFonts w:ascii="Times New Roman" w:hAnsi="Times New Roman" w:eastAsia="黑体" w:cs="Times New Roman"/>
      <w:bCs/>
      <w:kern w:val="2"/>
      <w:sz w:val="24"/>
      <w:szCs w:val="24"/>
      <w:lang w:bidi="ar-SA"/>
    </w:rPr>
  </w:style>
  <w:style w:type="paragraph" w:styleId="9">
    <w:name w:val="heading 8"/>
    <w:next w:val="1"/>
    <w:semiHidden/>
    <w:unhideWhenUsed/>
    <w:qFormat/>
    <w:uiPriority w:val="0"/>
    <w:pPr>
      <w:keepNext/>
      <w:keepLines/>
      <w:widowControl w:val="0"/>
      <w:adjustRightInd w:val="0"/>
      <w:spacing w:before="120" w:line="300" w:lineRule="auto"/>
      <w:jc w:val="both"/>
      <w:outlineLvl w:val="7"/>
    </w:pPr>
    <w:rPr>
      <w:rFonts w:ascii="Times New Roman" w:hAnsi="Times New Roman" w:eastAsia="黑体" w:cs="Times New Roman"/>
      <w:kern w:val="2"/>
      <w:sz w:val="24"/>
      <w:szCs w:val="24"/>
      <w:lang w:bidi="ar-SA"/>
    </w:rPr>
  </w:style>
  <w:style w:type="paragraph" w:styleId="10">
    <w:name w:val="heading 9"/>
    <w:next w:val="1"/>
    <w:semiHidden/>
    <w:unhideWhenUsed/>
    <w:qFormat/>
    <w:uiPriority w:val="0"/>
    <w:pPr>
      <w:keepNext/>
      <w:keepLines/>
      <w:widowControl w:val="0"/>
      <w:adjustRightInd w:val="0"/>
      <w:spacing w:before="120" w:line="300" w:lineRule="auto"/>
      <w:jc w:val="both"/>
      <w:outlineLvl w:val="8"/>
    </w:pPr>
    <w:rPr>
      <w:rFonts w:ascii="Times New Roman" w:hAnsi="Times New Roman" w:eastAsia="黑体" w:cs="Times New Roman"/>
      <w:kern w:val="2"/>
      <w:sz w:val="21"/>
      <w:szCs w:val="21"/>
      <w:lang w:bidi="ar-SA"/>
    </w:rPr>
  </w:style>
  <w:style w:type="character" w:default="1" w:styleId="16">
    <w:name w:val="Default Paragraph Font"/>
    <w:semiHidden/>
    <w:qFormat/>
    <w:uiPriority w:val="0"/>
  </w:style>
  <w:style w:type="table" w:default="1" w:styleId="15">
    <w:name w:val="Normal Table"/>
    <w:semiHidden/>
    <w:qFormat/>
    <w:uiPriority w:val="0"/>
    <w:tblPr>
      <w:tblCellMar>
        <w:top w:w="0" w:type="dxa"/>
        <w:left w:w="108" w:type="dxa"/>
        <w:bottom w:w="0" w:type="dxa"/>
        <w:right w:w="108" w:type="dxa"/>
      </w:tblCellMar>
    </w:tblPr>
  </w:style>
  <w:style w:type="paragraph" w:styleId="11">
    <w:name w:val="Body Text"/>
    <w:qFormat/>
    <w:uiPriority w:val="0"/>
    <w:pPr>
      <w:widowControl w:val="0"/>
      <w:adjustRightInd w:val="0"/>
      <w:spacing w:before="100" w:after="100" w:afterLines="0" w:afterAutospacing="0" w:line="300" w:lineRule="auto"/>
      <w:ind w:firstLine="1044" w:firstLineChars="200"/>
      <w:jc w:val="both"/>
    </w:pPr>
    <w:rPr>
      <w:rFonts w:ascii="Times New Roman" w:hAnsi="Times New Roman" w:eastAsia="宋体" w:cs="Times New Roman"/>
      <w:kern w:val="2"/>
      <w:sz w:val="24"/>
      <w:szCs w:val="24"/>
      <w:lang w:bidi="ar-SA"/>
    </w:rPr>
  </w:style>
  <w:style w:type="paragraph" w:styleId="12">
    <w:name w:val="Subtitle"/>
    <w:qFormat/>
    <w:uiPriority w:val="0"/>
    <w:pPr>
      <w:widowControl w:val="0"/>
      <w:adjustRightInd w:val="0"/>
      <w:spacing w:before="100" w:after="100" w:line="240" w:lineRule="auto"/>
      <w:jc w:val="center"/>
      <w:outlineLvl w:val="9"/>
    </w:pPr>
    <w:rPr>
      <w:rFonts w:ascii="Times New Roman" w:hAnsi="Times New Roman" w:eastAsia="黑体" w:cs="Times New Roman"/>
      <w:kern w:val="28"/>
      <w:sz w:val="32"/>
      <w:szCs w:val="24"/>
      <w:lang w:bidi="ar-SA"/>
    </w:rPr>
  </w:style>
  <w:style w:type="paragraph" w:styleId="13">
    <w:name w:val="footnote text"/>
    <w:link w:val="20"/>
    <w:semiHidden/>
    <w:unhideWhenUsed/>
    <w:qFormat/>
    <w:uiPriority w:val="99"/>
    <w:pPr>
      <w:spacing w:after="0" w:line="240" w:lineRule="auto"/>
    </w:pPr>
    <w:rPr>
      <w:rFonts w:asciiTheme="minorHAnsi" w:hAnsiTheme="minorHAnsi" w:eastAsiaTheme="minorEastAsia" w:cstheme="minorBidi"/>
      <w:sz w:val="20"/>
      <w:szCs w:val="20"/>
    </w:rPr>
  </w:style>
  <w:style w:type="paragraph" w:styleId="14">
    <w:name w:val="Title"/>
    <w:qFormat/>
    <w:uiPriority w:val="0"/>
    <w:pPr>
      <w:widowControl w:val="0"/>
      <w:adjustRightInd w:val="0"/>
      <w:spacing w:before="100" w:beforeAutospacing="0" w:after="100" w:afterAutospacing="0" w:line="240" w:lineRule="auto"/>
      <w:jc w:val="center"/>
      <w:outlineLvl w:val="9"/>
    </w:pPr>
    <w:rPr>
      <w:rFonts w:ascii="Times New Roman" w:hAnsi="Times New Roman" w:eastAsia="黑体" w:cs="Times New Roman"/>
      <w:kern w:val="2"/>
      <w:sz w:val="36"/>
      <w:szCs w:val="24"/>
      <w:lang w:bidi="ar-SA"/>
    </w:rPr>
  </w:style>
  <w:style w:type="character" w:styleId="17">
    <w:name w:val="Hyperlink"/>
    <w:unhideWhenUsed/>
    <w:qFormat/>
    <w:uiPriority w:val="99"/>
    <w:rPr>
      <w:color w:val="0563C1"/>
      <w:u w:val="single"/>
    </w:rPr>
  </w:style>
  <w:style w:type="character" w:styleId="18">
    <w:name w:val="footnote reference"/>
    <w:semiHidden/>
    <w:unhideWhenUsed/>
    <w:qFormat/>
    <w:uiPriority w:val="99"/>
    <w:rPr>
      <w:vertAlign w:val="superscript"/>
    </w:rPr>
  </w:style>
  <w:style w:type="paragraph" w:styleId="19">
    <w:name w:val="List Paragraph"/>
    <w:qFormat/>
    <w:uiPriority w:val="0"/>
    <w:rPr>
      <w:rFonts w:asciiTheme="minorHAnsi" w:hAnsiTheme="minorHAnsi" w:eastAsiaTheme="minorEastAsia" w:cstheme="minorBidi"/>
      <w:sz w:val="21"/>
      <w:szCs w:val="22"/>
    </w:rPr>
  </w:style>
  <w:style w:type="character" w:customStyle="1" w:styleId="20">
    <w:name w:val="Footnote Text Char"/>
    <w:link w:val="13"/>
    <w:semiHidden/>
    <w:unhideWhenUsed/>
    <w:qFormat/>
    <w:uiPriority w:val="99"/>
    <w:rPr>
      <w:sz w:val="20"/>
      <w:szCs w:val="20"/>
    </w:rPr>
  </w:style>
  <w:style w:type="paragraph" w:customStyle="1" w:styleId="21">
    <w:name w:val="_Style 13"/>
    <w:qFormat/>
    <w:uiPriority w:val="0"/>
    <w:pPr>
      <w:spacing w:before="120" w:after="120" w:line="288" w:lineRule="auto"/>
      <w:ind w:left="0"/>
      <w:jc w:val="left"/>
    </w:pPr>
    <w:rPr>
      <w:rFonts w:ascii="Arial" w:hAnsi="Arial" w:eastAsia="等线" w:cs="Arial"/>
      <w:sz w:val="22"/>
      <w:szCs w:val="22"/>
    </w:rPr>
  </w:style>
  <w:style w:type="paragraph" w:customStyle="1" w:styleId="22">
    <w:name w:val="_Style 14"/>
    <w:qFormat/>
    <w:uiPriority w:val="0"/>
    <w:pPr>
      <w:spacing w:before="120" w:after="120" w:line="288" w:lineRule="auto"/>
      <w:ind w:left="0"/>
      <w:jc w:val="left"/>
    </w:pPr>
    <w:rPr>
      <w:rFonts w:ascii="Arial" w:hAnsi="Arial" w:eastAsia="等线" w:cs="Arial"/>
      <w:color w:val="8F959E"/>
      <w:sz w:val="22"/>
      <w:szCs w:val="22"/>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3</Pages>
  <Words>1575</Words>
  <Characters>1606</Characters>
  <TotalTime>56</TotalTime>
  <ScaleCrop>false</ScaleCrop>
  <LinksUpToDate>false</LinksUpToDate>
  <CharactersWithSpaces>1618</CharactersWithSpaces>
  <Application>WPS Office_12.1.0.19770_F1E327BC-269C-435d-A152-05C5408002CA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2025-06-30T23:59:00Z</dcterms:created>
  <dc:creator>Un-named</dc:creator>
  <cp:lastModifiedBy>陈晓鸣</cp:lastModifiedBy>
  <dcterms:modified xsi:type="dcterms:W3CDTF">2025-07-09T07:17:53Z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eyJoZGlkIjoiMDljYzUzMWQ4OWI0YzBkYjYzMDRhZTY5ZjZkYmFmYTgiLCJ1c2VySWQiOiI0MjgxNjk1ODQifQ==</vt:lpwstr>
  </property>
  <property fmtid="{D5CDD505-2E9C-101B-9397-08002B2CF9AE}" pid="3" name="KSOProductBuildVer">
    <vt:lpwstr>2052-12.1.0.19770</vt:lpwstr>
  </property>
  <property fmtid="{D5CDD505-2E9C-101B-9397-08002B2CF9AE}" pid="4" name="ICV">
    <vt:lpwstr>FF06C8547A12429FBE330030C44BDC1B_13</vt:lpwstr>
  </property>
</Properties>
</file>