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1BF37">
      <w:pPr>
        <w:pStyle w:val="131"/>
        <w:framePr w:wrap="around"/>
        <w:rPr>
          <w:rFonts w:ascii="Times New Roman"/>
        </w:rPr>
      </w:pPr>
      <w:bookmarkStart w:id="0" w:name="StandardName"/>
    </w:p>
    <w:p w14:paraId="7A20A0EF">
      <w:pPr>
        <w:pStyle w:val="131"/>
        <w:framePr w:wrap="around"/>
        <w:rPr>
          <w:rFonts w:ascii="Times New Roman"/>
        </w:rPr>
      </w:pPr>
    </w:p>
    <w:p w14:paraId="157EE06E">
      <w:pPr>
        <w:pStyle w:val="131"/>
        <w:framePr w:wrap="around"/>
        <w:rPr>
          <w:rFonts w:ascii="Times New Roman"/>
        </w:rPr>
      </w:pPr>
    </w:p>
    <w:p w14:paraId="0F737CED">
      <w:pPr>
        <w:pStyle w:val="131"/>
        <w:framePr w:wrap="around"/>
        <w:rPr>
          <w:rFonts w:ascii="Times New Roman"/>
        </w:rPr>
      </w:pPr>
    </w:p>
    <w:p w14:paraId="0D39E25E">
      <w:pPr>
        <w:pStyle w:val="131"/>
        <w:framePr w:wrap="around"/>
        <w:rPr>
          <w:rFonts w:ascii="Times New Roman"/>
        </w:rPr>
      </w:pPr>
    </w:p>
    <w:p w14:paraId="2D779AF7">
      <w:pPr>
        <w:pStyle w:val="131"/>
        <w:framePr w:wrap="around"/>
        <w:rPr>
          <w:rFonts w:ascii="Times New Roman"/>
        </w:rPr>
      </w:pPr>
    </w:p>
    <w:p w14:paraId="481837AE">
      <w:pPr>
        <w:pStyle w:val="131"/>
        <w:framePr w:wrap="around"/>
        <w:rPr>
          <w:rFonts w:ascii="Times New Roman"/>
        </w:rPr>
      </w:pPr>
    </w:p>
    <w:p w14:paraId="4280BD98">
      <w:pPr>
        <w:pStyle w:val="131"/>
        <w:framePr w:wrap="around"/>
        <w:rPr>
          <w:rFonts w:ascii="Times New Roman"/>
        </w:rPr>
      </w:pPr>
    </w:p>
    <w:p w14:paraId="081940E4">
      <w:pPr>
        <w:pStyle w:val="131"/>
        <w:framePr w:wrap="around"/>
        <w:rPr>
          <w:rFonts w:ascii="Times New Roman"/>
        </w:rPr>
      </w:pPr>
    </w:p>
    <w:p w14:paraId="2B7D1CC8">
      <w:pPr>
        <w:pStyle w:val="131"/>
        <w:framePr w:wrap="around"/>
        <w:rPr>
          <w:rFonts w:ascii="Times New Roman"/>
        </w:rPr>
      </w:pPr>
      <w:r>
        <w:rPr>
          <w:rFonts w:ascii="Times New Roman"/>
        </w:rPr>
        <w:t xml:space="preserve"> </w:t>
      </w:r>
    </w:p>
    <w:p w14:paraId="79C5E71D">
      <w:pPr>
        <w:pStyle w:val="74"/>
        <w:framePr w:wrap="around"/>
      </w:pPr>
      <w:r>
        <w:drawing>
          <wp:inline distT="0" distB="0" distL="0" distR="0">
            <wp:extent cx="1435100" cy="717550"/>
            <wp:effectExtent l="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35100" cy="717550"/>
                    </a:xfrm>
                    <a:prstGeom prst="rect">
                      <a:avLst/>
                    </a:prstGeom>
                    <a:noFill/>
                    <a:ln>
                      <a:noFill/>
                    </a:ln>
                  </pic:spPr>
                </pic:pic>
              </a:graphicData>
            </a:graphic>
          </wp:inline>
        </w:drawing>
      </w:r>
    </w:p>
    <w:p w14:paraId="38404829">
      <w:pPr>
        <w:pStyle w:val="75"/>
        <w:framePr w:wrap="around"/>
        <w:rPr>
          <w:rFonts w:ascii="Times New Roman"/>
        </w:rPr>
      </w:pPr>
      <w:r>
        <w:rPr>
          <w:rFonts w:ascii="Times New Roman"/>
        </w:rPr>
        <w:t>中华人民共和国国家标准</w:t>
      </w:r>
    </w:p>
    <w:p w14:paraId="151D13DB">
      <w:pPr>
        <w:pStyle w:val="55"/>
        <w:framePr w:wrap="around"/>
        <w:rPr>
          <w:rFonts w:ascii="Times New Roman"/>
        </w:rPr>
      </w:pPr>
      <w:r>
        <w:rPr>
          <w:rFonts w:ascii="Times New Roman"/>
        </w:rPr>
        <w:t>GB/T  XXXXX—</w:t>
      </w:r>
      <w:bookmarkStart w:id="1" w:name="StdNo2"/>
      <w:r>
        <w:rPr>
          <w:rFonts w:ascii="Times New Roman" w:hAnsi="Times New Roman" w:eastAsia="黑体" w:cs="Times New Roman"/>
          <w:sz w:val="28"/>
          <w:szCs w:val="28"/>
          <w:lang w:val="en-US" w:eastAsia="zh-CN" w:bidi="ar-SA"/>
        </w:rPr>
        <w:fldChar w:fldCharType="begin">
          <w:ffData>
            <w:name w:val="StdNo2"/>
            <w:enabled/>
            <w:calcOnExit w:val="0"/>
            <w:textInput>
              <w:default w:val="202X"/>
              <w:maxLength w:val="4"/>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202X</w:t>
      </w:r>
      <w:r>
        <w:rPr>
          <w:rFonts w:ascii="Times New Roman" w:hAnsi="Times New Roman" w:eastAsia="黑体" w:cs="Times New Roman"/>
          <w:sz w:val="28"/>
          <w:szCs w:val="28"/>
          <w:lang w:val="en-US" w:eastAsia="zh-CN" w:bidi="ar-SA"/>
        </w:rPr>
        <w:fldChar w:fldCharType="end"/>
      </w:r>
      <w:bookmarkEnd w:id="1"/>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7444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78F6C90">
            <w:pPr>
              <w:pStyle w:val="84"/>
              <w:framePr w:wrap="around"/>
              <w:rPr>
                <w:rFonts w:ascii="Times New Roman"/>
              </w:rPr>
            </w:pPr>
          </w:p>
        </w:tc>
      </w:tr>
    </w:tbl>
    <w:p w14:paraId="03D6EA2E">
      <w:pPr>
        <w:pStyle w:val="55"/>
        <w:framePr w:wrap="around"/>
        <w:rPr>
          <w:rFonts w:ascii="Times New Roman"/>
        </w:rPr>
      </w:pPr>
    </w:p>
    <w:p w14:paraId="66E29131">
      <w:pPr>
        <w:pStyle w:val="55"/>
        <w:framePr w:wrap="around"/>
        <w:rPr>
          <w:rFonts w:ascii="Times New Roman"/>
        </w:rPr>
      </w:pPr>
    </w:p>
    <w:p w14:paraId="1CE904A2">
      <w:pPr>
        <w:pStyle w:val="86"/>
        <w:framePr w:h="7226" w:hRule="exact" w:wrap="around"/>
        <w:spacing w:line="360" w:lineRule="auto"/>
        <w:ind w:left="420" w:firstLine="420"/>
        <w:rPr>
          <w:rFonts w:ascii="Times New Roman"/>
        </w:rPr>
      </w:pPr>
      <w:bookmarkStart w:id="2" w:name="OLE_LINK1"/>
      <w:r>
        <w:rPr>
          <w:rFonts w:ascii="Times New Roman"/>
        </w:rPr>
        <w:t>温室气体 产品碳足迹量化要求与方法 暖通空调及净化设备</w:t>
      </w:r>
    </w:p>
    <w:p w14:paraId="4C46A9C4">
      <w:pPr>
        <w:pStyle w:val="86"/>
        <w:framePr w:h="7226" w:hRule="exact" w:wrap="around"/>
        <w:spacing w:line="360" w:lineRule="auto"/>
        <w:ind w:left="420" w:firstLine="420"/>
        <w:rPr>
          <w:rFonts w:ascii="Times New Roman"/>
          <w:sz w:val="28"/>
          <w:szCs w:val="10"/>
        </w:rPr>
      </w:pPr>
      <w:r>
        <w:rPr>
          <w:rFonts w:hint="eastAsia" w:ascii="Times New Roman"/>
          <w:sz w:val="28"/>
          <w:szCs w:val="10"/>
        </w:rPr>
        <w:t>Green gases—Quantification requirement and method of product carbon footprint— HVAC and air cleaning equipment</w:t>
      </w:r>
    </w:p>
    <w:p w14:paraId="768723A8">
      <w:pPr>
        <w:pStyle w:val="86"/>
        <w:framePr w:h="7226" w:hRule="exact" w:wrap="around"/>
        <w:spacing w:line="360" w:lineRule="auto"/>
        <w:ind w:left="420" w:firstLine="420"/>
        <w:rPr>
          <w:rFonts w:ascii="Times New Roman"/>
          <w:sz w:val="28"/>
          <w:szCs w:val="10"/>
        </w:rPr>
      </w:pPr>
      <w:r>
        <w:rPr>
          <w:rFonts w:ascii="Times New Roman"/>
          <w:sz w:val="28"/>
          <w:szCs w:val="10"/>
        </w:rPr>
        <w:t>（征求意见稿）</w:t>
      </w:r>
    </w:p>
    <w:p w14:paraId="2C5E0AB3">
      <w:pPr>
        <w:pStyle w:val="86"/>
        <w:framePr w:h="7226" w:hRule="exact" w:wrap="around"/>
        <w:spacing w:line="360" w:lineRule="auto"/>
        <w:ind w:left="420" w:firstLine="420"/>
        <w:rPr>
          <w:rFonts w:ascii="Times New Roman"/>
        </w:rPr>
      </w:pPr>
    </w:p>
    <w:p w14:paraId="612ABA81">
      <w:pPr>
        <w:pStyle w:val="87"/>
        <w:framePr w:h="7226" w:hRule="exact" w:wrap="around"/>
        <w:pBdr>
          <w:top w:val="none" w:sz="0" w:space="0"/>
          <w:left w:val="none" w:sz="0" w:space="0"/>
          <w:bottom w:val="none" w:sz="0" w:space="0"/>
          <w:right w:val="none" w:sz="0" w:space="0"/>
        </w:pBdr>
        <w:adjustRightInd w:val="0"/>
        <w:snapToGrid w:val="0"/>
        <w:spacing w:before="0" w:line="240" w:lineRule="auto"/>
        <w:jc w:val="center"/>
        <w:rPr>
          <w:rFonts w:hint="eastAsia" w:ascii="宋体" w:hAnsi="宋体" w:eastAsia="宋体" w:cs="宋体"/>
          <w:sz w:val="21"/>
          <w:szCs w:val="21"/>
        </w:rPr>
      </w:pPr>
      <w:r>
        <w:rPr>
          <w:rFonts w:hint="eastAsia" w:ascii="宋体" w:hAnsi="宋体" w:eastAsia="宋体" w:cs="宋体"/>
          <w:sz w:val="21"/>
          <w:szCs w:val="21"/>
        </w:rPr>
        <w:t>在提交反馈意见时，请将您知道的相关专利连同支持性文件一并附上。</w:t>
      </w:r>
    </w:p>
    <w:p w14:paraId="400D1CEC">
      <w:pPr>
        <w:pStyle w:val="86"/>
        <w:framePr w:h="7226" w:hRule="exact" w:wrap="around"/>
        <w:spacing w:line="360" w:lineRule="auto"/>
        <w:ind w:left="420" w:firstLine="420"/>
        <w:jc w:val="center"/>
        <w:rPr>
          <w:rFonts w:hint="eastAsia" w:ascii="宋体" w:hAnsi="宋体" w:eastAsia="宋体" w:cs="宋体"/>
          <w:sz w:val="28"/>
          <w:szCs w:val="10"/>
        </w:rPr>
      </w:pPr>
    </w:p>
    <w:p w14:paraId="6D03E8A4">
      <w:pPr>
        <w:pStyle w:val="86"/>
        <w:framePr w:h="7226" w:hRule="exact" w:wrap="around"/>
        <w:spacing w:line="360" w:lineRule="auto"/>
        <w:ind w:left="420" w:firstLine="420"/>
        <w:rPr>
          <w:rFonts w:ascii="Times New Roman"/>
        </w:rPr>
      </w:pPr>
    </w:p>
    <w:p w14:paraId="5BEFBF94">
      <w:pPr>
        <w:pStyle w:val="86"/>
        <w:framePr w:h="7226" w:hRule="exact" w:wrap="around"/>
        <w:spacing w:line="360" w:lineRule="auto"/>
        <w:ind w:left="420" w:firstLine="420"/>
        <w:rPr>
          <w:rFonts w:ascii="Times New Roman"/>
        </w:rPr>
      </w:pPr>
    </w:p>
    <w:p w14:paraId="421385E5">
      <w:pPr>
        <w:pStyle w:val="86"/>
        <w:framePr w:h="7226" w:hRule="exact" w:wrap="around"/>
        <w:spacing w:line="360" w:lineRule="auto"/>
        <w:ind w:left="420" w:firstLine="420"/>
        <w:rPr>
          <w:rFonts w:ascii="Times New Roman"/>
        </w:rPr>
      </w:pPr>
    </w:p>
    <w:bookmarkEnd w:id="2"/>
    <w:p w14:paraId="2ADA2635">
      <w:pPr>
        <w:pStyle w:val="88"/>
        <w:framePr w:h="7226" w:hRule="exact" w:wrap="around"/>
        <w:spacing w:line="360" w:lineRule="auto"/>
        <w:rPr>
          <w:rFonts w:ascii="Times New Roman"/>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13109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DF88B9C">
            <w:pPr>
              <w:pStyle w:val="89"/>
              <w:framePr w:h="7226" w:hRule="exact" w:wrap="around"/>
              <w:spacing w:line="360" w:lineRule="auto"/>
              <w:rPr>
                <w:rFonts w:ascii="Times New Roman"/>
              </w:rPr>
            </w:pPr>
            <w:r>
              <w:rPr>
                <w:rFonts w:ascii="Times New Roman"/>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1800356309" name="矩形 11"/>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1"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Fia6S1QAA&#10;AAoBAAAPAAAAAAAAAAEAIAAAACIAAABkcnMvZG93bnJldi54bWxQSwECFAAUAAAACACHTuJAeEuS&#10;1yECAAAwBAAADgAAAAAAAAABACAAAAAkAQAAZHJzL2Uyb0RvYy54bWxQSwUGAAAAAAYABgBZAQAA&#10;tw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2023457471" name="矩形 9"/>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9"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Phi+XWAAAA&#10;CQEAAA8AAAAAAAAAAQAgAAAAIgAAAGRycy9kb3ducmV2LnhtbFBLAQIUABQAAAAIAIdO4kDWfWFW&#10;HwIAAC8EAAAOAAAAAAAAAAEAIAAAACUBAABkcnMvZTJvRG9jLnhtbFBLBQYAAAAABgAGAFkBAAC2&#10;BQAAAAA=&#10;">
                      <v:fill on="t" focussize="0,0"/>
                      <v:stroke on="f"/>
                      <v:imagedata o:title=""/>
                      <o:lock v:ext="edit" aspectratio="f"/>
                    </v:rect>
                  </w:pict>
                </mc:Fallback>
              </mc:AlternateContent>
            </w:r>
            <w:r>
              <w:rPr>
                <w:rFonts w:ascii="Times New Roman"/>
              </w:rPr>
              <w:t xml:space="preserve"> </w:t>
            </w:r>
          </w:p>
        </w:tc>
      </w:tr>
      <w:tr w14:paraId="50C2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E710465">
            <w:pPr>
              <w:pStyle w:val="90"/>
              <w:framePr w:h="7226" w:hRule="exact" w:wrap="around"/>
              <w:spacing w:line="360" w:lineRule="auto"/>
              <w:rPr>
                <w:rFonts w:ascii="Times New Roman"/>
              </w:rPr>
            </w:pPr>
          </w:p>
        </w:tc>
      </w:tr>
    </w:tbl>
    <w:p w14:paraId="53CA84DF">
      <w:pPr>
        <w:pStyle w:val="82"/>
        <w:framePr w:wrap="around"/>
        <w:rPr>
          <w:rFonts w:ascii="Times New Roman"/>
        </w:rPr>
      </w:pPr>
      <w:r>
        <w:rPr>
          <w:rFonts w:ascii="Times New Roman"/>
        </w:rPr>
        <w:drawing>
          <wp:inline distT="0" distB="0" distL="0" distR="0">
            <wp:extent cx="3314700" cy="629285"/>
            <wp:effectExtent l="0" t="0" r="0" b="0"/>
            <wp:docPr id="1754852844" name="图片 17548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52844" name="图片 17548528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4700" cy="629285"/>
                    </a:xfrm>
                    <a:prstGeom prst="rect">
                      <a:avLst/>
                    </a:prstGeom>
                    <a:noFill/>
                    <a:ln>
                      <a:noFill/>
                    </a:ln>
                  </pic:spPr>
                </pic:pic>
              </a:graphicData>
            </a:graphic>
          </wp:inline>
        </w:drawing>
      </w:r>
    </w:p>
    <w:p w14:paraId="7C915539">
      <w:pPr>
        <w:pStyle w:val="131"/>
        <w:framePr w:wrap="around" w:vAnchor="page" w:y="715"/>
        <w:adjustRightInd w:val="0"/>
        <w:snapToGrid w:val="0"/>
        <w:rPr>
          <w:rFonts w:ascii="Times New Roman"/>
        </w:rPr>
      </w:pPr>
      <w:r>
        <w:rPr>
          <w:rFonts w:ascii="Times New Roman"/>
        </w:rPr>
        <w:t>ICS  91.140.30</w:t>
      </w:r>
    </w:p>
    <w:p w14:paraId="6E7F7679">
      <w:pPr>
        <w:pStyle w:val="131"/>
        <w:framePr w:wrap="around" w:vAnchor="page" w:y="715"/>
        <w:adjustRightInd w:val="0"/>
        <w:snapToGrid w:val="0"/>
        <w:rPr>
          <w:rFonts w:ascii="Times New Roman"/>
        </w:rPr>
      </w:pPr>
      <w:r>
        <w:rPr>
          <w:rFonts w:ascii="Times New Roman"/>
        </w:rPr>
        <w:t xml:space="preserve">CCS  P48 </w:t>
      </w:r>
    </w:p>
    <w:p w14:paraId="1B584511">
      <w:pPr>
        <w:pStyle w:val="28"/>
        <w:rPr>
          <w:rFonts w:ascii="Times New Roman"/>
        </w:rPr>
        <w:sectPr>
          <w:pgSz w:w="11906" w:h="16838"/>
          <w:pgMar w:top="567" w:right="850" w:bottom="1134" w:left="1418" w:header="0" w:footer="0" w:gutter="0"/>
          <w:pgNumType w:start="1"/>
          <w:cols w:space="425" w:num="1"/>
          <w:docGrid w:type="lines" w:linePitch="312" w:charSpace="0"/>
        </w:sectPr>
      </w:pPr>
      <w:bookmarkStart w:id="58" w:name="_GoBack"/>
      <w:bookmarkEnd w:id="58"/>
      <w:r>
        <w:rPr>
          <w:rFonts w:ascii="Times New Roman"/>
        </w:rPr>
        <mc:AlternateContent>
          <mc:Choice Requires="wps">
            <w:drawing>
              <wp:anchor distT="0" distB="0" distL="114300" distR="114300" simplePos="0" relativeHeight="251664384" behindDoc="0" locked="1" layoutInCell="0" allowOverlap="1">
                <wp:simplePos x="0" y="0"/>
                <wp:positionH relativeFrom="margin">
                  <wp:posOffset>68580</wp:posOffset>
                </wp:positionH>
                <wp:positionV relativeFrom="margin">
                  <wp:posOffset>8568055</wp:posOffset>
                </wp:positionV>
                <wp:extent cx="2019300" cy="312420"/>
                <wp:effectExtent l="0" t="0" r="0" b="0"/>
                <wp:wrapNone/>
                <wp:docPr id="202111057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808E31F">
                            <w:pPr>
                              <w:pStyle w:val="83"/>
                            </w:pPr>
                            <w:r>
                              <w:rPr>
                                <w:rFonts w:hint="eastAsia"/>
                                <w:lang w:val="en-US" w:eastAsia="zh-CN"/>
                              </w:rPr>
                              <w:t>202</w:t>
                            </w:r>
                            <w:r>
                              <w:rPr>
                                <w:rFonts w:hint="eastAsia"/>
                              </w:rPr>
                              <w:t>×-××-××发布</w:t>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5.4pt;margin-top:674.65pt;height:24.6pt;width:159pt;mso-position-horizontal-relative:margin;mso-position-vertical-relative:margin;z-index:251664384;mso-width-relative:page;mso-height-relative:page;" fillcolor="#FFFFFF" filled="t" stroked="f" coordsize="21600,21600" o:allowincell="f" o:gfxdata="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08lNDZAAAADAEAAA8AAAAAAAAAAQAgAAAAIgAAAGRycy9kb3ducmV2LnhtbFBLAQIUABQA&#10;AAAIAIdO4kDqTpeaKAIAADcEAAAOAAAAAAAAAAEAIAAAACgBAABkcnMvZTJvRG9jLnhtbFBLBQYA&#10;AAAABgAGAFkBAADCBQAAAAA=&#10;">
                <v:fill on="t" focussize="0,0"/>
                <v:stroke on="f"/>
                <v:imagedata o:title=""/>
                <o:lock v:ext="edit" aspectratio="f"/>
                <v:textbox inset="0mm,0mm,0mm,0mm">
                  <w:txbxContent>
                    <w:p w14:paraId="4808E31F">
                      <w:pPr>
                        <w:pStyle w:val="83"/>
                      </w:pPr>
                      <w:r>
                        <w:rPr>
                          <w:rFonts w:hint="eastAsia"/>
                          <w:lang w:val="en-US" w:eastAsia="zh-CN"/>
                        </w:rPr>
                        <w:t>202</w:t>
                      </w:r>
                      <w:r>
                        <w:rPr>
                          <w:rFonts w:hint="eastAsia"/>
                        </w:rPr>
                        <w:t>×-××-××发布</w:t>
                      </w:r>
                    </w:p>
                  </w:txbxContent>
                </v:textbox>
                <w10:anchorlock/>
              </v:shape>
            </w:pict>
          </mc:Fallback>
        </mc:AlternateContent>
      </w:r>
      <w:r>
        <w:rPr>
          <w:rFonts w:ascii="Times New Roman"/>
        </w:rPr>
        <mc:AlternateContent>
          <mc:Choice Requires="wps">
            <w:drawing>
              <wp:anchor distT="0" distB="0" distL="114300" distR="114300" simplePos="0" relativeHeight="251663360" behindDoc="0" locked="1" layoutInCell="0" allowOverlap="1">
                <wp:simplePos x="0" y="0"/>
                <wp:positionH relativeFrom="margin">
                  <wp:posOffset>3997960</wp:posOffset>
                </wp:positionH>
                <wp:positionV relativeFrom="margin">
                  <wp:posOffset>8568055</wp:posOffset>
                </wp:positionV>
                <wp:extent cx="2019300" cy="312420"/>
                <wp:effectExtent l="0" t="0" r="0" b="0"/>
                <wp:wrapNone/>
                <wp:docPr id="89851355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067DA21C">
                            <w:pPr>
                              <w:pStyle w:val="122"/>
                            </w:pPr>
                            <w:r>
                              <w:rPr>
                                <w:rFonts w:hint="eastAsia"/>
                                <w:lang w:val="en-US" w:eastAsia="zh-CN"/>
                              </w:rPr>
                              <w:t>202</w:t>
                            </w:r>
                            <w:r>
                              <w:rPr>
                                <w:rFonts w:hint="eastAsia"/>
                              </w:rPr>
                              <w:t>×-××-××实施</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314.8pt;margin-top:674.65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XVDPaAAAADQEAAA8AAAAAAAAAAQAgAAAAIgAAAGRycy9kb3ducmV2LnhtbFBLAQIUABQA&#10;AAAIAIdO4kArVYhvJwIAADYEAAAOAAAAAAAAAAEAIAAAACkBAABkcnMvZTJvRG9jLnhtbFBLBQYA&#10;AAAABgAGAFkBAADCBQAAAAA=&#10;">
                <v:fill on="t" focussize="0,0"/>
                <v:stroke on="f"/>
                <v:imagedata o:title=""/>
                <o:lock v:ext="edit" aspectratio="f"/>
                <v:textbox inset="0mm,0mm,0mm,0mm">
                  <w:txbxContent>
                    <w:p w14:paraId="067DA21C">
                      <w:pPr>
                        <w:pStyle w:val="122"/>
                      </w:pPr>
                      <w:r>
                        <w:rPr>
                          <w:rFonts w:hint="eastAsia"/>
                          <w:lang w:val="en-US" w:eastAsia="zh-CN"/>
                        </w:rPr>
                        <w:t>202</w:t>
                      </w:r>
                      <w:r>
                        <w:rPr>
                          <w:rFonts w:hint="eastAsia"/>
                        </w:rPr>
                        <w:t>×-××-××实施</w:t>
                      </w:r>
                    </w:p>
                  </w:txbxContent>
                </v:textbox>
                <w10:anchorlock/>
              </v:shape>
            </w:pict>
          </mc:Fallback>
        </mc:AlternateContent>
      </w:r>
      <w:r>
        <w:rPr>
          <w:rFonts w:ascii="Times New Roman"/>
        </w:rPr>
        <mc:AlternateContent>
          <mc:Choice Requires="wps">
            <w:drawing>
              <wp:anchor distT="0" distB="0" distL="114300" distR="114300" simplePos="0" relativeHeight="251662336" behindDoc="0" locked="0" layoutInCell="0" allowOverlap="1">
                <wp:simplePos x="0" y="0"/>
                <wp:positionH relativeFrom="column">
                  <wp:posOffset>-33020</wp:posOffset>
                </wp:positionH>
                <wp:positionV relativeFrom="paragraph">
                  <wp:posOffset>8943975</wp:posOffset>
                </wp:positionV>
                <wp:extent cx="6121400" cy="0"/>
                <wp:effectExtent l="0" t="0" r="0" b="0"/>
                <wp:wrapNone/>
                <wp:docPr id="185157000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3" o:spid="_x0000_s1026" o:spt="20" style="position:absolute;left:0pt;margin-left:-2.6pt;margin-top:704.25pt;height:0pt;width:482pt;z-index:251662336;mso-width-relative:page;mso-height-relative:page;" filled="f" stroked="t" coordsize="21600,21600" o:allowincell="f" o:gfxdata="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6XRA1wAAAAwBAAAPAAAAAAAAAAEAIAAAACIAAABkcnMvZG93bnJldi54bWxQSwECFAAUAAAACACH&#10;TuJAEST37ewBAAC0AwAADgAAAAAAAAABACAAAAAmAQAAZHJzL2Uyb0RvYy54bWxQSwUGAAAAAAYA&#10;BgBZAQAAhAUAAAAA&#10;">
                <v:fill on="f" focussize="0,0"/>
                <v:stroke weight="1pt" color="#080000" joinstyle="round"/>
                <v:imagedata o:title=""/>
                <o:lock v:ext="edit" aspectratio="f"/>
              </v:lin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77750112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dbw&#10;CNcAAAAJAQAADwAAAAAAAAABACAAAAAiAAAAZHJzL2Rvd25yZXYueG1sUEsBAhQAFAAAAAgAh07i&#10;QPdyM67qAQAAswMAAA4AAAAAAAAAAQAgAAAAJgEAAGRycy9lMm9Eb2MueG1sUEsFBgAAAAAGAAYA&#10;WQEAAIIFAAAAAA==&#10;">
                <v:fill on="f" focussize="0,0"/>
                <v:stroke color="#000000" joinstyle="round"/>
                <v:imagedata o:title=""/>
                <o:lock v:ext="edit" aspectratio="f"/>
              </v:line>
            </w:pict>
          </mc:Fallback>
        </mc:AlternateContent>
      </w:r>
    </w:p>
    <w:bookmarkEnd w:id="0"/>
    <w:p w14:paraId="245E5FCA">
      <w:pPr>
        <w:pStyle w:val="120"/>
        <w:keepNext w:val="0"/>
        <w:pageBreakBefore w:val="0"/>
        <w:numPr>
          <w:ilvl w:val="0"/>
          <w:numId w:val="19"/>
        </w:numPr>
        <w:spacing w:before="156" w:beforeLines="50" w:after="0" w:line="360" w:lineRule="auto"/>
        <w:rPr>
          <w:rFonts w:ascii="Times New Roman"/>
        </w:rPr>
      </w:pPr>
      <w:bookmarkStart w:id="3" w:name="BZ"/>
      <w:bookmarkEnd w:id="3"/>
      <w:bookmarkStart w:id="4" w:name="_Toc211864619"/>
      <w:bookmarkStart w:id="5" w:name="_Toc164672695"/>
      <w:bookmarkStart w:id="6" w:name="_Toc143805476"/>
      <w:bookmarkStart w:id="7" w:name="_Toc199951089"/>
      <w:bookmarkStart w:id="8" w:name="_Toc164412213"/>
      <w:r>
        <w:rPr>
          <w:rFonts w:ascii="Times New Roman"/>
        </w:rPr>
        <w:t>目次</w:t>
      </w:r>
      <w:bookmarkEnd w:id="4"/>
      <w:bookmarkEnd w:id="5"/>
      <w:bookmarkEnd w:id="6"/>
      <w:bookmarkEnd w:id="7"/>
      <w:bookmarkEnd w:id="8"/>
    </w:p>
    <w:p w14:paraId="1188A9C3">
      <w:pPr>
        <w:pStyle w:val="24"/>
        <w:spacing w:before="78" w:after="78" w:line="360" w:lineRule="auto"/>
        <w:rPr>
          <w:rFonts w:hint="eastAsia" w:hAnsi="宋体" w:cstheme="minorBidi"/>
          <w:sz w:val="22"/>
          <w:szCs w:val="24"/>
          <w14:ligatures w14:val="standardContextual"/>
        </w:rPr>
      </w:pPr>
      <w:r>
        <w:rPr>
          <w:rFonts w:ascii="Times New Roman"/>
        </w:rPr>
        <w:fldChar w:fldCharType="begin"/>
      </w:r>
      <w:r>
        <w:rPr>
          <w:rFonts w:ascii="Times New Roman"/>
        </w:rPr>
        <w:instrText xml:space="preserve"> TOC \o "1-3" \h \z \u </w:instrText>
      </w:r>
      <w:r>
        <w:rPr>
          <w:rFonts w:ascii="Times New Roman"/>
        </w:rPr>
        <w:fldChar w:fldCharType="separate"/>
      </w:r>
      <w:r>
        <w:fldChar w:fldCharType="begin"/>
      </w:r>
      <w:r>
        <w:instrText xml:space="preserve"> HYPERLINK \l "_Toc211864619" </w:instrText>
      </w:r>
      <w:r>
        <w:fldChar w:fldCharType="separate"/>
      </w:r>
      <w:r>
        <w:rPr>
          <w:rStyle w:val="46"/>
          <w:rFonts w:hint="eastAsia" w:hAnsi="宋体"/>
        </w:rPr>
        <w:t>目次</w:t>
      </w:r>
      <w:r>
        <w:rPr>
          <w:rFonts w:hAnsi="宋体"/>
        </w:rPr>
        <w:tab/>
      </w:r>
      <w:r>
        <w:rPr>
          <w:rFonts w:hint="eastAsia" w:hAnsi="宋体"/>
        </w:rPr>
        <w:fldChar w:fldCharType="begin"/>
      </w:r>
      <w:r>
        <w:rPr>
          <w:rFonts w:hAnsi="宋体"/>
        </w:rPr>
        <w:instrText xml:space="preserve"> PAGEREF _Toc211864619 \h </w:instrText>
      </w:r>
      <w:r>
        <w:rPr>
          <w:rFonts w:hint="eastAsia" w:hAnsi="宋体"/>
        </w:rPr>
        <w:fldChar w:fldCharType="separate"/>
      </w:r>
      <w:r>
        <w:rPr>
          <w:rFonts w:hint="eastAsia" w:hAnsi="宋体"/>
        </w:rPr>
        <w:t>I</w:t>
      </w:r>
      <w:r>
        <w:rPr>
          <w:rFonts w:hint="eastAsia" w:hAnsi="宋体"/>
        </w:rPr>
        <w:fldChar w:fldCharType="end"/>
      </w:r>
      <w:r>
        <w:rPr>
          <w:rFonts w:hint="eastAsia" w:hAnsi="宋体"/>
        </w:rPr>
        <w:fldChar w:fldCharType="end"/>
      </w:r>
    </w:p>
    <w:p w14:paraId="42E5591C">
      <w:pPr>
        <w:pStyle w:val="33"/>
        <w:spacing w:line="360" w:lineRule="auto"/>
        <w:rPr>
          <w:rFonts w:hint="eastAsia" w:hAnsi="宋体" w:cstheme="minorBidi"/>
          <w:sz w:val="22"/>
          <w:szCs w:val="24"/>
          <w14:ligatures w14:val="standardContextual"/>
        </w:rPr>
      </w:pPr>
      <w:r>
        <w:fldChar w:fldCharType="begin"/>
      </w:r>
      <w:r>
        <w:instrText xml:space="preserve"> HYPERLINK \l "_Toc211864620" </w:instrText>
      </w:r>
      <w:r>
        <w:fldChar w:fldCharType="separate"/>
      </w:r>
      <w:r>
        <w:rPr>
          <w:rStyle w:val="46"/>
          <w:rFonts w:hint="eastAsia" w:hAnsi="宋体"/>
        </w:rPr>
        <w:t>前言</w:t>
      </w:r>
      <w:r>
        <w:rPr>
          <w:rFonts w:hAnsi="宋体"/>
        </w:rPr>
        <w:tab/>
      </w:r>
      <w:r>
        <w:rPr>
          <w:rFonts w:hint="eastAsia" w:hAnsi="宋体"/>
        </w:rPr>
        <w:fldChar w:fldCharType="begin"/>
      </w:r>
      <w:r>
        <w:rPr>
          <w:rFonts w:hAnsi="宋体"/>
        </w:rPr>
        <w:instrText xml:space="preserve"> PAGEREF _Toc211864620 \h </w:instrText>
      </w:r>
      <w:r>
        <w:rPr>
          <w:rFonts w:hint="eastAsia" w:hAnsi="宋体"/>
        </w:rPr>
        <w:fldChar w:fldCharType="separate"/>
      </w:r>
      <w:r>
        <w:rPr>
          <w:rFonts w:hint="eastAsia" w:hAnsi="宋体"/>
        </w:rPr>
        <w:t>II</w:t>
      </w:r>
      <w:r>
        <w:rPr>
          <w:rFonts w:hint="eastAsia" w:hAnsi="宋体"/>
        </w:rPr>
        <w:fldChar w:fldCharType="end"/>
      </w:r>
      <w:r>
        <w:rPr>
          <w:rFonts w:hint="eastAsia" w:hAnsi="宋体"/>
        </w:rPr>
        <w:fldChar w:fldCharType="end"/>
      </w:r>
    </w:p>
    <w:p w14:paraId="739854A5">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"_Toc211864621" </w:instrText>
      </w:r>
      <w:r>
        <w:fldChar w:fldCharType="separate"/>
      </w:r>
      <w:r>
        <w:rPr>
          <w:rStyle w:val="46"/>
          <w:rFonts w:hAnsi="宋体"/>
        </w:rPr>
        <w:t>1</w:t>
      </w:r>
      <w:r>
        <w:rPr>
          <w:rStyle w:val="46"/>
          <w:rFonts w:hint="eastAsia" w:hAnsi="宋体"/>
        </w:rPr>
        <w:t>范围</w:t>
      </w:r>
      <w:r>
        <w:rPr>
          <w:rFonts w:hAnsi="宋体"/>
        </w:rPr>
        <w:tab/>
      </w:r>
      <w:r>
        <w:rPr>
          <w:rFonts w:hint="eastAsia" w:hAnsi="宋体"/>
        </w:rPr>
        <w:fldChar w:fldCharType="begin"/>
      </w:r>
      <w:r>
        <w:rPr>
          <w:rFonts w:hAnsi="宋体"/>
        </w:rPr>
        <w:instrText xml:space="preserve"> PAGEREF _Toc211864621 \h </w:instrText>
      </w:r>
      <w:r>
        <w:rPr>
          <w:rFonts w:hint="eastAsia" w:hAnsi="宋体"/>
        </w:rPr>
        <w:fldChar w:fldCharType="separate"/>
      </w:r>
      <w:r>
        <w:rPr>
          <w:rFonts w:hint="eastAsia" w:hAnsi="宋体"/>
        </w:rPr>
        <w:t>1</w:t>
      </w:r>
      <w:r>
        <w:rPr>
          <w:rFonts w:hint="eastAsia" w:hAnsi="宋体"/>
        </w:rPr>
        <w:fldChar w:fldCharType="end"/>
      </w:r>
      <w:r>
        <w:rPr>
          <w:rFonts w:hint="eastAsia" w:hAnsi="宋体"/>
        </w:rPr>
        <w:fldChar w:fldCharType="end"/>
      </w:r>
    </w:p>
    <w:p w14:paraId="35F4371A">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"_Toc211864622" </w:instrText>
      </w:r>
      <w:r>
        <w:fldChar w:fldCharType="separate"/>
      </w:r>
      <w:r>
        <w:rPr>
          <w:rStyle w:val="46"/>
          <w:rFonts w:hAnsi="宋体"/>
        </w:rPr>
        <w:t>2</w:t>
      </w:r>
      <w:r>
        <w:rPr>
          <w:rStyle w:val="46"/>
          <w:rFonts w:hint="eastAsia" w:hAnsi="宋体"/>
        </w:rPr>
        <w:t>规范性引用文件</w:t>
      </w:r>
      <w:r>
        <w:rPr>
          <w:rFonts w:hAnsi="宋体"/>
        </w:rPr>
        <w:tab/>
      </w:r>
      <w:r>
        <w:rPr>
          <w:rFonts w:hint="eastAsia" w:hAnsi="宋体"/>
        </w:rPr>
        <w:fldChar w:fldCharType="begin"/>
      </w:r>
      <w:r>
        <w:rPr>
          <w:rFonts w:hAnsi="宋体"/>
        </w:rPr>
        <w:instrText xml:space="preserve"> PAGEREF _Toc211864622 \h </w:instrText>
      </w:r>
      <w:r>
        <w:rPr>
          <w:rFonts w:hint="eastAsia" w:hAnsi="宋体"/>
        </w:rPr>
        <w:fldChar w:fldCharType="separate"/>
      </w:r>
      <w:r>
        <w:rPr>
          <w:rFonts w:hint="eastAsia" w:hAnsi="宋体"/>
        </w:rPr>
        <w:t>1</w:t>
      </w:r>
      <w:r>
        <w:rPr>
          <w:rFonts w:hint="eastAsia" w:hAnsi="宋体"/>
        </w:rPr>
        <w:fldChar w:fldCharType="end"/>
      </w:r>
      <w:r>
        <w:rPr>
          <w:rFonts w:hint="eastAsia" w:hAnsi="宋体"/>
        </w:rPr>
        <w:fldChar w:fldCharType="end"/>
      </w:r>
    </w:p>
    <w:p w14:paraId="74F2AF58">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"_Toc211864623" </w:instrText>
      </w:r>
      <w:r>
        <w:fldChar w:fldCharType="separate"/>
      </w:r>
      <w:r>
        <w:rPr>
          <w:rStyle w:val="46"/>
          <w:rFonts w:hAnsi="宋体"/>
        </w:rPr>
        <w:t>3</w:t>
      </w:r>
      <w:r>
        <w:rPr>
          <w:rStyle w:val="46"/>
          <w:rFonts w:hint="eastAsia" w:hAnsi="宋体"/>
        </w:rPr>
        <w:t>术语和定义</w:t>
      </w:r>
      <w:r>
        <w:rPr>
          <w:rFonts w:hAnsi="宋体"/>
        </w:rPr>
        <w:tab/>
      </w:r>
      <w:r>
        <w:rPr>
          <w:rFonts w:hint="eastAsia" w:hAnsi="宋体"/>
        </w:rPr>
        <w:fldChar w:fldCharType="begin"/>
      </w:r>
      <w:r>
        <w:rPr>
          <w:rFonts w:hAnsi="宋体"/>
        </w:rPr>
        <w:instrText xml:space="preserve"> PAGEREF _Toc211864623 \h </w:instrText>
      </w:r>
      <w:r>
        <w:rPr>
          <w:rFonts w:hint="eastAsia" w:hAnsi="宋体"/>
        </w:rPr>
        <w:fldChar w:fldCharType="separate"/>
      </w:r>
      <w:r>
        <w:rPr>
          <w:rFonts w:hint="eastAsia" w:hAnsi="宋体"/>
        </w:rPr>
        <w:t>1</w:t>
      </w:r>
      <w:r>
        <w:rPr>
          <w:rFonts w:hint="eastAsia" w:hAnsi="宋体"/>
        </w:rPr>
        <w:fldChar w:fldCharType="end"/>
      </w:r>
      <w:r>
        <w:rPr>
          <w:rFonts w:hint="eastAsia" w:hAnsi="宋体"/>
        </w:rPr>
        <w:fldChar w:fldCharType="end"/>
      </w:r>
    </w:p>
    <w:p w14:paraId="1D3DA713">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"_Toc211864624" </w:instrText>
      </w:r>
      <w:r>
        <w:fldChar w:fldCharType="separate"/>
      </w:r>
      <w:r>
        <w:rPr>
          <w:rStyle w:val="46"/>
          <w:rFonts w:hAnsi="宋体"/>
        </w:rPr>
        <w:t xml:space="preserve">4 </w:t>
      </w:r>
      <w:r>
        <w:rPr>
          <w:rStyle w:val="46"/>
          <w:rFonts w:hint="eastAsia" w:hAnsi="宋体"/>
        </w:rPr>
        <w:t>量化目的</w:t>
      </w:r>
      <w:r>
        <w:rPr>
          <w:rFonts w:hAnsi="宋体"/>
        </w:rPr>
        <w:tab/>
      </w:r>
      <w:r>
        <w:rPr>
          <w:rFonts w:hint="eastAsia" w:hAnsi="宋体"/>
        </w:rPr>
        <w:fldChar w:fldCharType="begin"/>
      </w:r>
      <w:r>
        <w:rPr>
          <w:rFonts w:hAnsi="宋体"/>
        </w:rPr>
        <w:instrText xml:space="preserve"> PAGEREF _Toc211864624 \h </w:instrText>
      </w:r>
      <w:r>
        <w:rPr>
          <w:rFonts w:hint="eastAsia" w:hAnsi="宋体"/>
        </w:rPr>
        <w:fldChar w:fldCharType="separate"/>
      </w:r>
      <w:r>
        <w:rPr>
          <w:rFonts w:hint="eastAsia" w:hAnsi="宋体"/>
        </w:rPr>
        <w:t>3</w:t>
      </w:r>
      <w:r>
        <w:rPr>
          <w:rFonts w:hint="eastAsia" w:hAnsi="宋体"/>
        </w:rPr>
        <w:fldChar w:fldCharType="end"/>
      </w:r>
      <w:r>
        <w:rPr>
          <w:rFonts w:hint="eastAsia" w:hAnsi="宋体"/>
        </w:rPr>
        <w:fldChar w:fldCharType="end"/>
      </w:r>
    </w:p>
    <w:p w14:paraId="613F5127">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"_Toc211864625" </w:instrText>
      </w:r>
      <w:r>
        <w:fldChar w:fldCharType="separate"/>
      </w:r>
      <w:r>
        <w:rPr>
          <w:rStyle w:val="46"/>
          <w:rFonts w:hAnsi="宋体"/>
        </w:rPr>
        <w:t xml:space="preserve">5 </w:t>
      </w:r>
      <w:r>
        <w:rPr>
          <w:rStyle w:val="46"/>
          <w:rFonts w:hint="eastAsia" w:hAnsi="宋体"/>
        </w:rPr>
        <w:t>量化范围</w:t>
      </w:r>
      <w:r>
        <w:rPr>
          <w:rFonts w:hAnsi="宋体"/>
        </w:rPr>
        <w:tab/>
      </w:r>
      <w:r>
        <w:rPr>
          <w:rFonts w:hint="eastAsia" w:hAnsi="宋体"/>
        </w:rPr>
        <w:fldChar w:fldCharType="begin"/>
      </w:r>
      <w:r>
        <w:rPr>
          <w:rFonts w:hAnsi="宋体"/>
        </w:rPr>
        <w:instrText xml:space="preserve"> PAGEREF _Toc211864625 \h </w:instrText>
      </w:r>
      <w:r>
        <w:rPr>
          <w:rFonts w:hint="eastAsia" w:hAnsi="宋体"/>
        </w:rPr>
        <w:fldChar w:fldCharType="separate"/>
      </w:r>
      <w:r>
        <w:rPr>
          <w:rFonts w:hint="eastAsia" w:hAnsi="宋体"/>
        </w:rPr>
        <w:t>4</w:t>
      </w:r>
      <w:r>
        <w:rPr>
          <w:rFonts w:hint="eastAsia" w:hAnsi="宋体"/>
        </w:rPr>
        <w:fldChar w:fldCharType="end"/>
      </w:r>
      <w:r>
        <w:rPr>
          <w:rFonts w:hint="eastAsia" w:hAnsi="宋体"/>
        </w:rPr>
        <w:fldChar w:fldCharType="end"/>
      </w:r>
    </w:p>
    <w:p w14:paraId="5519296C">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"_Toc211864626" </w:instrText>
      </w:r>
      <w:r>
        <w:fldChar w:fldCharType="separate"/>
      </w:r>
      <w:r>
        <w:rPr>
          <w:rStyle w:val="46"/>
          <w:rFonts w:hAnsi="宋体"/>
        </w:rPr>
        <w:t xml:space="preserve">6 </w:t>
      </w:r>
      <w:r>
        <w:rPr>
          <w:rStyle w:val="46"/>
          <w:rFonts w:hint="eastAsia" w:hAnsi="宋体"/>
        </w:rPr>
        <w:t>生命周期清单分析</w:t>
      </w:r>
      <w:r>
        <w:rPr>
          <w:rFonts w:hAnsi="宋体"/>
        </w:rPr>
        <w:tab/>
      </w:r>
      <w:r>
        <w:rPr>
          <w:rFonts w:hint="eastAsia" w:hAnsi="宋体"/>
        </w:rPr>
        <w:fldChar w:fldCharType="begin"/>
      </w:r>
      <w:r>
        <w:rPr>
          <w:rFonts w:hAnsi="宋体"/>
        </w:rPr>
        <w:instrText xml:space="preserve"> PAGEREF _Toc211864626 \h </w:instrText>
      </w:r>
      <w:r>
        <w:rPr>
          <w:rFonts w:hint="eastAsia" w:hAnsi="宋体"/>
        </w:rPr>
        <w:fldChar w:fldCharType="separate"/>
      </w:r>
      <w:r>
        <w:rPr>
          <w:rFonts w:hint="eastAsia" w:hAnsi="宋体"/>
        </w:rPr>
        <w:t>6</w:t>
      </w:r>
      <w:r>
        <w:rPr>
          <w:rFonts w:hint="eastAsia" w:hAnsi="宋体"/>
        </w:rPr>
        <w:fldChar w:fldCharType="end"/>
      </w:r>
      <w:r>
        <w:rPr>
          <w:rFonts w:hint="eastAsia" w:hAnsi="宋体"/>
        </w:rPr>
        <w:fldChar w:fldCharType="end"/>
      </w:r>
    </w:p>
    <w:p w14:paraId="4156EF6C">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"_Toc211864627" </w:instrText>
      </w:r>
      <w:r>
        <w:fldChar w:fldCharType="separate"/>
      </w:r>
      <w:r>
        <w:rPr>
          <w:rStyle w:val="46"/>
          <w:rFonts w:hAnsi="宋体"/>
        </w:rPr>
        <w:t xml:space="preserve">7 </w:t>
      </w:r>
      <w:r>
        <w:rPr>
          <w:rStyle w:val="46"/>
          <w:rFonts w:hint="eastAsia" w:hAnsi="宋体"/>
        </w:rPr>
        <w:t>产品碳足迹影响评价</w:t>
      </w:r>
      <w:r>
        <w:rPr>
          <w:rFonts w:hAnsi="宋体"/>
        </w:rPr>
        <w:tab/>
      </w:r>
      <w:r>
        <w:rPr>
          <w:rFonts w:hint="eastAsia" w:hAnsi="宋体"/>
        </w:rPr>
        <w:fldChar w:fldCharType="begin"/>
      </w:r>
      <w:r>
        <w:rPr>
          <w:rFonts w:hAnsi="宋体"/>
        </w:rPr>
        <w:instrText xml:space="preserve"> PAGEREF _Toc211864627 \h </w:instrText>
      </w:r>
      <w:r>
        <w:rPr>
          <w:rFonts w:hint="eastAsia" w:hAnsi="宋体"/>
        </w:rPr>
        <w:fldChar w:fldCharType="separate"/>
      </w:r>
      <w:r>
        <w:rPr>
          <w:rFonts w:hint="eastAsia" w:hAnsi="宋体"/>
        </w:rPr>
        <w:t>9</w:t>
      </w:r>
      <w:r>
        <w:rPr>
          <w:rFonts w:hint="eastAsia" w:hAnsi="宋体"/>
        </w:rPr>
        <w:fldChar w:fldCharType="end"/>
      </w:r>
      <w:r>
        <w:rPr>
          <w:rFonts w:hint="eastAsia" w:hAnsi="宋体"/>
        </w:rPr>
        <w:fldChar w:fldCharType="end"/>
      </w:r>
    </w:p>
    <w:p w14:paraId="3F2BDE3F">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"_Toc211864628" </w:instrText>
      </w:r>
      <w:r>
        <w:fldChar w:fldCharType="separate"/>
      </w:r>
      <w:r>
        <w:rPr>
          <w:rStyle w:val="46"/>
          <w:rFonts w:hAnsi="宋体"/>
        </w:rPr>
        <w:t xml:space="preserve">8 </w:t>
      </w:r>
      <w:r>
        <w:rPr>
          <w:rStyle w:val="46"/>
          <w:rFonts w:hint="eastAsia" w:hAnsi="宋体"/>
        </w:rPr>
        <w:t>产品碳足迹结果解释</w:t>
      </w:r>
      <w:r>
        <w:rPr>
          <w:rFonts w:hAnsi="宋体"/>
        </w:rPr>
        <w:tab/>
      </w:r>
      <w:r>
        <w:rPr>
          <w:rFonts w:hint="eastAsia" w:hAnsi="宋体"/>
        </w:rPr>
        <w:fldChar w:fldCharType="begin"/>
      </w:r>
      <w:r>
        <w:rPr>
          <w:rFonts w:hAnsi="宋体"/>
        </w:rPr>
        <w:instrText xml:space="preserve"> PAGEREF _Toc211864628 \h </w:instrText>
      </w:r>
      <w:r>
        <w:rPr>
          <w:rFonts w:hint="eastAsia" w:hAnsi="宋体"/>
        </w:rPr>
        <w:fldChar w:fldCharType="separate"/>
      </w:r>
      <w:r>
        <w:rPr>
          <w:rFonts w:hint="eastAsia" w:hAnsi="宋体"/>
        </w:rPr>
        <w:t>12</w:t>
      </w:r>
      <w:r>
        <w:rPr>
          <w:rFonts w:hint="eastAsia" w:hAnsi="宋体"/>
        </w:rPr>
        <w:fldChar w:fldCharType="end"/>
      </w:r>
      <w:r>
        <w:rPr>
          <w:rFonts w:hint="eastAsia" w:hAnsi="宋体"/>
        </w:rPr>
        <w:fldChar w:fldCharType="end"/>
      </w:r>
    </w:p>
    <w:p w14:paraId="10F9F2D4">
      <w:pPr>
        <w:pStyle w:val="24"/>
        <w:spacing w:before="78" w:after="78" w:line="360" w:lineRule="auto"/>
        <w:rPr>
          <w:rFonts w:hint="eastAsia" w:hAnsi="宋体" w:cstheme="minorBidi"/>
          <w:sz w:val="22"/>
          <w:szCs w:val="24"/>
          <w14:ligatures w14:val="standardContextual"/>
        </w:rPr>
      </w:pPr>
      <w:r>
        <w:fldChar w:fldCharType="begin"/>
      </w:r>
      <w:r>
        <w:instrText xml:space="preserve"> HYPERLINK \l "_Toc211864629" </w:instrText>
      </w:r>
      <w:r>
        <w:fldChar w:fldCharType="separate"/>
      </w:r>
      <w:r>
        <w:rPr>
          <w:rStyle w:val="46"/>
          <w:rFonts w:hAnsi="宋体"/>
        </w:rPr>
        <w:t xml:space="preserve">9 </w:t>
      </w:r>
      <w:r>
        <w:rPr>
          <w:rStyle w:val="46"/>
          <w:rFonts w:hint="eastAsia" w:hAnsi="宋体"/>
        </w:rPr>
        <w:t>产品碳足迹报告</w:t>
      </w:r>
      <w:r>
        <w:rPr>
          <w:rFonts w:hAnsi="宋体"/>
        </w:rPr>
        <w:tab/>
      </w:r>
      <w:r>
        <w:rPr>
          <w:rFonts w:hint="eastAsia" w:hAnsi="宋体"/>
        </w:rPr>
        <w:fldChar w:fldCharType="begin"/>
      </w:r>
      <w:r>
        <w:rPr>
          <w:rFonts w:hAnsi="宋体"/>
        </w:rPr>
        <w:instrText xml:space="preserve"> PAGEREF _Toc211864629 \h </w:instrText>
      </w:r>
      <w:r>
        <w:rPr>
          <w:rFonts w:hint="eastAsia" w:hAnsi="宋体"/>
        </w:rPr>
        <w:fldChar w:fldCharType="separate"/>
      </w:r>
      <w:r>
        <w:rPr>
          <w:rFonts w:hint="eastAsia" w:hAnsi="宋体"/>
        </w:rPr>
        <w:t>13</w:t>
      </w:r>
      <w:r>
        <w:rPr>
          <w:rFonts w:hint="eastAsia" w:hAnsi="宋体"/>
        </w:rPr>
        <w:fldChar w:fldCharType="end"/>
      </w:r>
      <w:r>
        <w:rPr>
          <w:rFonts w:hint="eastAsia" w:hAnsi="宋体"/>
        </w:rPr>
        <w:fldChar w:fldCharType="end"/>
      </w:r>
    </w:p>
    <w:p w14:paraId="5FE55D9F">
      <w:pPr>
        <w:pStyle w:val="33"/>
        <w:spacing w:line="360" w:lineRule="auto"/>
        <w:rPr>
          <w:rFonts w:hint="eastAsia" w:hAnsi="宋体" w:cstheme="minorBidi"/>
          <w:sz w:val="22"/>
          <w:szCs w:val="24"/>
          <w14:ligatures w14:val="standardContextual"/>
        </w:rPr>
      </w:pPr>
      <w:r>
        <w:fldChar w:fldCharType="begin"/>
      </w:r>
      <w:r>
        <w:instrText xml:space="preserve"> HYPERLINK \l "_Toc211864630" </w:instrText>
      </w:r>
      <w:r>
        <w:fldChar w:fldCharType="separate"/>
      </w:r>
      <w:r>
        <w:rPr>
          <w:rStyle w:val="46"/>
          <w:rFonts w:hint="eastAsia" w:hAnsi="宋体"/>
        </w:rPr>
        <w:t>附录</w:t>
      </w:r>
      <w:r>
        <w:rPr>
          <w:rStyle w:val="46"/>
          <w:rFonts w:hAnsi="宋体"/>
        </w:rPr>
        <w:t xml:space="preserve">A </w:t>
      </w:r>
      <w:r>
        <w:rPr>
          <w:rStyle w:val="46"/>
          <w:rFonts w:hint="eastAsia" w:hAnsi="宋体"/>
        </w:rPr>
        <w:t>（资料性）</w:t>
      </w:r>
      <w:r>
        <w:rPr>
          <w:rStyle w:val="46"/>
          <w:rFonts w:hAnsi="宋体"/>
        </w:rPr>
        <w:t xml:space="preserve"> </w:t>
      </w:r>
      <w:r>
        <w:rPr>
          <w:rStyle w:val="46"/>
          <w:rFonts w:hint="eastAsia" w:hAnsi="宋体"/>
        </w:rPr>
        <w:t>暖通空调及净化设备产品碳足迹量化数据收集表</w:t>
      </w:r>
      <w:r>
        <w:rPr>
          <w:rFonts w:hAnsi="宋体"/>
        </w:rPr>
        <w:tab/>
      </w:r>
      <w:r>
        <w:rPr>
          <w:rFonts w:hint="eastAsia" w:hAnsi="宋体"/>
        </w:rPr>
        <w:fldChar w:fldCharType="begin"/>
      </w:r>
      <w:r>
        <w:rPr>
          <w:rFonts w:hAnsi="宋体"/>
        </w:rPr>
        <w:instrText xml:space="preserve"> PAGEREF _Toc211864630 \h </w:instrText>
      </w:r>
      <w:r>
        <w:rPr>
          <w:rFonts w:hint="eastAsia" w:hAnsi="宋体"/>
        </w:rPr>
        <w:fldChar w:fldCharType="separate"/>
      </w:r>
      <w:r>
        <w:rPr>
          <w:rFonts w:hint="eastAsia" w:hAnsi="宋体"/>
        </w:rPr>
        <w:t>15</w:t>
      </w:r>
      <w:r>
        <w:rPr>
          <w:rFonts w:hint="eastAsia" w:hAnsi="宋体"/>
        </w:rPr>
        <w:fldChar w:fldCharType="end"/>
      </w:r>
      <w:r>
        <w:rPr>
          <w:rFonts w:hint="eastAsia" w:hAnsi="宋体"/>
        </w:rPr>
        <w:fldChar w:fldCharType="end"/>
      </w:r>
    </w:p>
    <w:p w14:paraId="7D4575D9">
      <w:pPr>
        <w:pStyle w:val="33"/>
        <w:spacing w:line="360" w:lineRule="auto"/>
        <w:rPr>
          <w:rFonts w:hint="eastAsia" w:hAnsi="宋体" w:cstheme="minorBidi"/>
          <w:sz w:val="22"/>
          <w:szCs w:val="24"/>
          <w14:ligatures w14:val="standardContextual"/>
        </w:rPr>
      </w:pPr>
      <w:r>
        <w:fldChar w:fldCharType="begin"/>
      </w:r>
      <w:r>
        <w:instrText xml:space="preserve"> HYPERLINK \l "_Toc211864631" </w:instrText>
      </w:r>
      <w:r>
        <w:fldChar w:fldCharType="separate"/>
      </w:r>
      <w:r>
        <w:rPr>
          <w:rStyle w:val="46"/>
          <w:rFonts w:hint="eastAsia" w:hAnsi="宋体"/>
        </w:rPr>
        <w:t>附录</w:t>
      </w:r>
      <w:r>
        <w:rPr>
          <w:rStyle w:val="46"/>
          <w:rFonts w:hAnsi="宋体"/>
        </w:rPr>
        <w:t xml:space="preserve">B  </w:t>
      </w:r>
      <w:r>
        <w:rPr>
          <w:rStyle w:val="46"/>
          <w:rFonts w:hint="eastAsia" w:hAnsi="宋体"/>
        </w:rPr>
        <w:t>（资料性）</w:t>
      </w:r>
      <w:r>
        <w:rPr>
          <w:rStyle w:val="46"/>
          <w:rFonts w:hAnsi="宋体"/>
        </w:rPr>
        <w:t xml:space="preserve"> </w:t>
      </w:r>
      <w:r>
        <w:rPr>
          <w:rStyle w:val="46"/>
          <w:rFonts w:hint="eastAsia" w:hAnsi="宋体"/>
        </w:rPr>
        <w:t>暖通空调及净化设备产品碳足迹量化数据收集表</w:t>
      </w:r>
      <w:r>
        <w:rPr>
          <w:rFonts w:hAnsi="宋体"/>
        </w:rPr>
        <w:tab/>
      </w:r>
      <w:r>
        <w:rPr>
          <w:rFonts w:hint="eastAsia" w:hAnsi="宋体"/>
        </w:rPr>
        <w:fldChar w:fldCharType="begin"/>
      </w:r>
      <w:r>
        <w:rPr>
          <w:rFonts w:hAnsi="宋体"/>
        </w:rPr>
        <w:instrText xml:space="preserve"> PAGEREF _Toc211864631 \h </w:instrText>
      </w:r>
      <w:r>
        <w:rPr>
          <w:rFonts w:hint="eastAsia" w:hAnsi="宋体"/>
        </w:rPr>
        <w:fldChar w:fldCharType="separate"/>
      </w:r>
      <w:r>
        <w:rPr>
          <w:rFonts w:hint="eastAsia" w:hAnsi="宋体"/>
        </w:rPr>
        <w:t>16</w:t>
      </w:r>
      <w:r>
        <w:rPr>
          <w:rFonts w:hint="eastAsia" w:hAnsi="宋体"/>
        </w:rPr>
        <w:fldChar w:fldCharType="end"/>
      </w:r>
      <w:r>
        <w:rPr>
          <w:rFonts w:hint="eastAsia" w:hAnsi="宋体"/>
        </w:rPr>
        <w:fldChar w:fldCharType="end"/>
      </w:r>
    </w:p>
    <w:p w14:paraId="6CC704E8">
      <w:pPr>
        <w:pStyle w:val="33"/>
        <w:spacing w:line="360" w:lineRule="auto"/>
        <w:rPr>
          <w:rFonts w:hint="eastAsia" w:hAnsi="宋体" w:cstheme="minorBidi"/>
          <w:sz w:val="22"/>
          <w:szCs w:val="24"/>
          <w14:ligatures w14:val="standardContextual"/>
        </w:rPr>
      </w:pPr>
      <w:r>
        <w:fldChar w:fldCharType="begin"/>
      </w:r>
      <w:r>
        <w:instrText xml:space="preserve"> HYPERLINK \l "_Toc211864632" </w:instrText>
      </w:r>
      <w:r>
        <w:fldChar w:fldCharType="separate"/>
      </w:r>
      <w:r>
        <w:rPr>
          <w:rStyle w:val="46"/>
          <w:rFonts w:hint="eastAsia" w:hAnsi="宋体"/>
        </w:rPr>
        <w:t>附录</w:t>
      </w:r>
      <w:r>
        <w:rPr>
          <w:rStyle w:val="46"/>
          <w:rFonts w:hAnsi="宋体"/>
        </w:rPr>
        <w:t xml:space="preserve">C </w:t>
      </w:r>
      <w:r>
        <w:rPr>
          <w:rStyle w:val="46"/>
          <w:rFonts w:hint="eastAsia" w:hAnsi="宋体"/>
        </w:rPr>
        <w:t>（资料性）</w:t>
      </w:r>
      <w:r>
        <w:rPr>
          <w:rStyle w:val="46"/>
          <w:rFonts w:hAnsi="宋体"/>
        </w:rPr>
        <w:t xml:space="preserve"> </w:t>
      </w:r>
      <w:r>
        <w:rPr>
          <w:rStyle w:val="46"/>
          <w:rFonts w:hint="eastAsia" w:hAnsi="宋体"/>
        </w:rPr>
        <w:t>数据质量评价</w:t>
      </w:r>
      <w:r>
        <w:rPr>
          <w:rFonts w:hAnsi="宋体"/>
        </w:rPr>
        <w:tab/>
      </w:r>
      <w:r>
        <w:rPr>
          <w:rFonts w:hint="eastAsia" w:hAnsi="宋体"/>
        </w:rPr>
        <w:fldChar w:fldCharType="begin"/>
      </w:r>
      <w:r>
        <w:rPr>
          <w:rFonts w:hAnsi="宋体"/>
        </w:rPr>
        <w:instrText xml:space="preserve"> PAGEREF _Toc211864632 \h </w:instrText>
      </w:r>
      <w:r>
        <w:rPr>
          <w:rFonts w:hint="eastAsia" w:hAnsi="宋体"/>
        </w:rPr>
        <w:fldChar w:fldCharType="separate"/>
      </w:r>
      <w:r>
        <w:rPr>
          <w:rFonts w:hint="eastAsia" w:hAnsi="宋体"/>
        </w:rPr>
        <w:t>18</w:t>
      </w:r>
      <w:r>
        <w:rPr>
          <w:rFonts w:hint="eastAsia" w:hAnsi="宋体"/>
        </w:rPr>
        <w:fldChar w:fldCharType="end"/>
      </w:r>
      <w:r>
        <w:rPr>
          <w:rFonts w:hint="eastAsia" w:hAnsi="宋体"/>
        </w:rPr>
        <w:fldChar w:fldCharType="end"/>
      </w:r>
    </w:p>
    <w:p w14:paraId="2A143AE2">
      <w:pPr>
        <w:pStyle w:val="33"/>
        <w:spacing w:line="360" w:lineRule="auto"/>
        <w:rPr>
          <w:rFonts w:hint="eastAsia" w:hAnsi="宋体" w:cstheme="minorBidi"/>
          <w:sz w:val="22"/>
          <w:szCs w:val="24"/>
          <w14:ligatures w14:val="standardContextual"/>
        </w:rPr>
      </w:pPr>
      <w:r>
        <w:fldChar w:fldCharType="begin"/>
      </w:r>
      <w:r>
        <w:instrText xml:space="preserve"> HYPERLINK \l "_Toc211864633" </w:instrText>
      </w:r>
      <w:r>
        <w:fldChar w:fldCharType="separate"/>
      </w:r>
      <w:r>
        <w:rPr>
          <w:rStyle w:val="46"/>
          <w:rFonts w:hint="eastAsia" w:hAnsi="宋体"/>
        </w:rPr>
        <w:t>附录</w:t>
      </w:r>
      <w:r>
        <w:rPr>
          <w:rStyle w:val="46"/>
          <w:rFonts w:hAnsi="宋体"/>
        </w:rPr>
        <w:t xml:space="preserve">D </w:t>
      </w:r>
      <w:r>
        <w:rPr>
          <w:rStyle w:val="46"/>
          <w:rFonts w:hint="eastAsia" w:hAnsi="宋体"/>
        </w:rPr>
        <w:t>（资料性）</w:t>
      </w:r>
      <w:r>
        <w:rPr>
          <w:rStyle w:val="46"/>
          <w:rFonts w:hAnsi="宋体"/>
        </w:rPr>
        <w:t xml:space="preserve"> </w:t>
      </w:r>
      <w:r>
        <w:rPr>
          <w:rStyle w:val="46"/>
          <w:rFonts w:hint="eastAsia" w:hAnsi="宋体"/>
        </w:rPr>
        <w:t>产品碳足迹报告（模板）</w:t>
      </w:r>
      <w:r>
        <w:rPr>
          <w:rFonts w:hAnsi="宋体"/>
        </w:rPr>
        <w:tab/>
      </w:r>
      <w:r>
        <w:rPr>
          <w:rFonts w:hint="eastAsia" w:hAnsi="宋体"/>
        </w:rPr>
        <w:fldChar w:fldCharType="begin"/>
      </w:r>
      <w:r>
        <w:rPr>
          <w:rFonts w:hAnsi="宋体"/>
        </w:rPr>
        <w:instrText xml:space="preserve"> PAGEREF _Toc211864633 \h </w:instrText>
      </w:r>
      <w:r>
        <w:rPr>
          <w:rFonts w:hint="eastAsia" w:hAnsi="宋体"/>
        </w:rPr>
        <w:fldChar w:fldCharType="separate"/>
      </w:r>
      <w:r>
        <w:rPr>
          <w:rFonts w:hint="eastAsia" w:hAnsi="宋体"/>
        </w:rPr>
        <w:t>19</w:t>
      </w:r>
      <w:r>
        <w:rPr>
          <w:rFonts w:hint="eastAsia" w:hAnsi="宋体"/>
        </w:rPr>
        <w:fldChar w:fldCharType="end"/>
      </w:r>
      <w:r>
        <w:rPr>
          <w:rFonts w:hint="eastAsia" w:hAnsi="宋体"/>
        </w:rPr>
        <w:fldChar w:fldCharType="end"/>
      </w:r>
    </w:p>
    <w:p w14:paraId="6523BAA7">
      <w:pPr>
        <w:pStyle w:val="33"/>
        <w:spacing w:line="360" w:lineRule="auto"/>
        <w:rPr>
          <w:rFonts w:hint="eastAsia" w:hAnsi="宋体" w:cstheme="minorBidi"/>
          <w:sz w:val="22"/>
          <w:szCs w:val="24"/>
          <w14:ligatures w14:val="standardContextual"/>
        </w:rPr>
      </w:pPr>
      <w:r>
        <w:fldChar w:fldCharType="begin"/>
      </w:r>
      <w:r>
        <w:instrText xml:space="preserve"> HYPERLINK \l "_Toc211864634" </w:instrText>
      </w:r>
      <w:r>
        <w:fldChar w:fldCharType="separate"/>
      </w:r>
      <w:r>
        <w:rPr>
          <w:rStyle w:val="46"/>
          <w:rFonts w:hint="eastAsia" w:hAnsi="宋体"/>
        </w:rPr>
        <w:t>附录</w:t>
      </w:r>
      <w:r>
        <w:rPr>
          <w:rStyle w:val="46"/>
          <w:rFonts w:hAnsi="宋体"/>
        </w:rPr>
        <w:t xml:space="preserve">E </w:t>
      </w:r>
      <w:r>
        <w:rPr>
          <w:rStyle w:val="46"/>
          <w:rFonts w:hint="eastAsia" w:hAnsi="宋体"/>
        </w:rPr>
        <w:t>（资料性）</w:t>
      </w:r>
      <w:r>
        <w:rPr>
          <w:rStyle w:val="46"/>
          <w:rFonts w:hAnsi="宋体"/>
        </w:rPr>
        <w:t xml:space="preserve"> </w:t>
      </w:r>
      <w:r>
        <w:rPr>
          <w:rStyle w:val="46"/>
          <w:rFonts w:hint="eastAsia" w:hAnsi="宋体"/>
        </w:rPr>
        <w:t>非终端消费产品——热回收新风机组碳足迹计算示例</w:t>
      </w:r>
      <w:r>
        <w:rPr>
          <w:rFonts w:hAnsi="宋体"/>
        </w:rPr>
        <w:tab/>
      </w:r>
      <w:r>
        <w:rPr>
          <w:rFonts w:hint="eastAsia" w:hAnsi="宋体"/>
        </w:rPr>
        <w:fldChar w:fldCharType="begin"/>
      </w:r>
      <w:r>
        <w:rPr>
          <w:rFonts w:hAnsi="宋体"/>
        </w:rPr>
        <w:instrText xml:space="preserve"> PAGEREF _Toc211864634 \h </w:instrText>
      </w:r>
      <w:r>
        <w:rPr>
          <w:rFonts w:hint="eastAsia" w:hAnsi="宋体"/>
        </w:rPr>
        <w:fldChar w:fldCharType="separate"/>
      </w:r>
      <w:r>
        <w:rPr>
          <w:rFonts w:hint="eastAsia" w:hAnsi="宋体"/>
        </w:rPr>
        <w:t>23</w:t>
      </w:r>
      <w:r>
        <w:rPr>
          <w:rFonts w:hint="eastAsia" w:hAnsi="宋体"/>
        </w:rPr>
        <w:fldChar w:fldCharType="end"/>
      </w:r>
      <w:r>
        <w:rPr>
          <w:rFonts w:hint="eastAsia" w:hAnsi="宋体"/>
        </w:rPr>
        <w:fldChar w:fldCharType="end"/>
      </w:r>
    </w:p>
    <w:p w14:paraId="59D4AE2D">
      <w:pPr>
        <w:spacing w:line="360" w:lineRule="auto"/>
        <w:rPr>
          <w:szCs w:val="21"/>
        </w:rPr>
      </w:pPr>
      <w:r>
        <w:rPr>
          <w:szCs w:val="21"/>
        </w:rPr>
        <w:fldChar w:fldCharType="end"/>
      </w:r>
    </w:p>
    <w:p w14:paraId="2C59A150">
      <w:pPr>
        <w:spacing w:line="360" w:lineRule="auto"/>
        <w:rPr>
          <w:szCs w:val="21"/>
        </w:rPr>
      </w:pPr>
    </w:p>
    <w:p w14:paraId="3EF0C534">
      <w:pPr>
        <w:spacing w:line="360" w:lineRule="auto"/>
        <w:rPr>
          <w:rFonts w:eastAsia="黑体"/>
          <w:b/>
          <w:bCs/>
          <w:sz w:val="32"/>
          <w:szCs w:val="32"/>
        </w:rPr>
      </w:pPr>
    </w:p>
    <w:p w14:paraId="412DA081">
      <w:pPr>
        <w:rPr>
          <w:rFonts w:eastAsia="黑体"/>
          <w:b/>
          <w:bCs/>
          <w:sz w:val="32"/>
          <w:szCs w:val="32"/>
        </w:rPr>
      </w:pPr>
    </w:p>
    <w:p w14:paraId="3A45C150">
      <w:pPr>
        <w:rPr>
          <w:rFonts w:eastAsia="黑体"/>
          <w:b/>
          <w:bCs/>
          <w:sz w:val="32"/>
          <w:szCs w:val="32"/>
        </w:rPr>
      </w:pPr>
    </w:p>
    <w:p w14:paraId="792EDA98">
      <w:pPr>
        <w:rPr>
          <w:rFonts w:eastAsia="黑体"/>
          <w:b/>
          <w:bCs/>
          <w:sz w:val="32"/>
          <w:szCs w:val="32"/>
        </w:rPr>
      </w:pPr>
    </w:p>
    <w:p w14:paraId="2BE552A5">
      <w:pPr>
        <w:rPr>
          <w:sz w:val="32"/>
          <w:szCs w:val="32"/>
        </w:rPr>
      </w:pPr>
      <w:bookmarkStart w:id="9" w:name="_Toc39139704"/>
      <w:bookmarkStart w:id="10" w:name="_Toc41031003"/>
      <w:bookmarkStart w:id="11" w:name="_Toc39138749"/>
    </w:p>
    <w:p w14:paraId="1AE559A1">
      <w:pPr>
        <w:pStyle w:val="53"/>
        <w:numPr>
          <w:ilvl w:val="0"/>
          <w:numId w:val="0"/>
        </w:numPr>
        <w:snapToGrid w:val="0"/>
        <w:spacing w:beforeLines="0" w:afterLines="0"/>
        <w:ind w:left="4095" w:leftChars="1950" w:right="4095" w:rightChars="1950"/>
        <w:jc w:val="distribute"/>
        <w:rPr>
          <w:rFonts w:ascii="Times New Roman"/>
          <w:sz w:val="32"/>
          <w:szCs w:val="32"/>
        </w:rPr>
      </w:pPr>
      <w:bookmarkStart w:id="12" w:name="_Toc211864620"/>
      <w:r>
        <w:rPr>
          <w:rFonts w:ascii="Times New Roman"/>
          <w:sz w:val="32"/>
          <w:szCs w:val="32"/>
        </w:rPr>
        <w:t>前言</w:t>
      </w:r>
      <w:bookmarkEnd w:id="9"/>
      <w:bookmarkEnd w:id="10"/>
      <w:bookmarkEnd w:id="11"/>
      <w:bookmarkEnd w:id="12"/>
    </w:p>
    <w:p w14:paraId="6BAC2EF5">
      <w:pPr>
        <w:pStyle w:val="28"/>
        <w:snapToGrid w:val="0"/>
        <w:spacing w:line="300" w:lineRule="auto"/>
        <w:rPr>
          <w:rFonts w:ascii="Times New Roman"/>
        </w:rPr>
      </w:pPr>
    </w:p>
    <w:p w14:paraId="4792530E">
      <w:pPr>
        <w:pStyle w:val="28"/>
        <w:snapToGrid w:val="0"/>
        <w:spacing w:line="300" w:lineRule="auto"/>
        <w:rPr>
          <w:rFonts w:ascii="Times New Roman"/>
        </w:rPr>
      </w:pPr>
      <w:r>
        <w:rPr>
          <w:rFonts w:ascii="Times New Roman"/>
        </w:rPr>
        <w:t>本文件按照GB/T 1.1</w:t>
      </w:r>
      <w:r>
        <w:rPr>
          <w:rFonts w:ascii="Times New Roman"/>
          <w:szCs w:val="18"/>
        </w:rPr>
        <w:t>—</w:t>
      </w:r>
      <w:r>
        <w:rPr>
          <w:rFonts w:ascii="Times New Roman"/>
        </w:rPr>
        <w:t>2020《标准化工作导则第1部分：标准化文件的结构和起草规则》的规定起草。</w:t>
      </w:r>
    </w:p>
    <w:p w14:paraId="53892936">
      <w:pPr>
        <w:pStyle w:val="28"/>
        <w:snapToGrid w:val="0"/>
        <w:spacing w:line="300" w:lineRule="auto"/>
        <w:rPr>
          <w:rFonts w:ascii="Times New Roman"/>
        </w:rPr>
      </w:pPr>
      <w:r>
        <w:rPr>
          <w:rFonts w:ascii="Times New Roman"/>
        </w:rPr>
        <w:t>请注意本文件的某些内容可能涉及专利。本文件的发布机构不承担识别专利的责任。</w:t>
      </w:r>
    </w:p>
    <w:p w14:paraId="4FFED063">
      <w:pPr>
        <w:pStyle w:val="28"/>
        <w:snapToGrid w:val="0"/>
        <w:spacing w:line="300" w:lineRule="auto"/>
        <w:rPr>
          <w:rFonts w:ascii="Times New Roman"/>
        </w:rPr>
      </w:pPr>
      <w:r>
        <w:rPr>
          <w:rFonts w:ascii="Times New Roman"/>
        </w:rPr>
        <w:t>本文件由中华人民共和国住房和城乡建设部提出。</w:t>
      </w:r>
    </w:p>
    <w:p w14:paraId="7D8D42A6">
      <w:pPr>
        <w:pStyle w:val="28"/>
        <w:snapToGrid w:val="0"/>
        <w:spacing w:line="300" w:lineRule="auto"/>
        <w:rPr>
          <w:rFonts w:ascii="Times New Roman"/>
        </w:rPr>
      </w:pPr>
      <w:r>
        <w:rPr>
          <w:rFonts w:ascii="Times New Roman"/>
        </w:rPr>
        <w:t>本文件由全国暖通空调及净化设备标准化技术委员会（SAC/TC143）归口。</w:t>
      </w:r>
    </w:p>
    <w:p w14:paraId="2F42CE98">
      <w:pPr>
        <w:pStyle w:val="28"/>
        <w:snapToGrid w:val="0"/>
        <w:spacing w:line="300" w:lineRule="auto"/>
        <w:rPr>
          <w:rFonts w:ascii="Times New Roman"/>
        </w:rPr>
      </w:pPr>
      <w:r>
        <w:rPr>
          <w:rFonts w:ascii="Times New Roman"/>
        </w:rPr>
        <w:t>本文件起草单位：中国建筑科学研究院有限公司、建科环能科技有限公司、……。</w:t>
      </w:r>
    </w:p>
    <w:p w14:paraId="30FC7376">
      <w:pPr>
        <w:pStyle w:val="28"/>
        <w:snapToGrid w:val="0"/>
        <w:spacing w:line="300" w:lineRule="auto"/>
        <w:rPr>
          <w:rFonts w:ascii="Times New Roman"/>
        </w:rPr>
      </w:pPr>
      <w:r>
        <w:rPr>
          <w:rFonts w:ascii="Times New Roman"/>
        </w:rPr>
        <w:t>本文件主要起草人：…….。</w:t>
      </w:r>
    </w:p>
    <w:p w14:paraId="5FE65254">
      <w:pPr>
        <w:pStyle w:val="28"/>
        <w:snapToGrid w:val="0"/>
        <w:spacing w:line="300" w:lineRule="auto"/>
        <w:rPr>
          <w:rFonts w:ascii="Times New Roman"/>
        </w:rPr>
      </w:pPr>
    </w:p>
    <w:p w14:paraId="21F13FE7">
      <w:pPr>
        <w:pStyle w:val="28"/>
        <w:snapToGrid w:val="0"/>
        <w:spacing w:line="300" w:lineRule="auto"/>
        <w:rPr>
          <w:rFonts w:ascii="Times New Roman"/>
        </w:rPr>
      </w:pPr>
    </w:p>
    <w:p w14:paraId="3F2D3D29">
      <w:pPr>
        <w:pStyle w:val="28"/>
        <w:snapToGrid w:val="0"/>
        <w:spacing w:line="300" w:lineRule="auto"/>
        <w:rPr>
          <w:rFonts w:ascii="Times New Roman"/>
        </w:rPr>
      </w:pPr>
    </w:p>
    <w:p w14:paraId="4590293B">
      <w:pPr>
        <w:pStyle w:val="28"/>
        <w:snapToGrid w:val="0"/>
        <w:spacing w:line="300" w:lineRule="auto"/>
        <w:rPr>
          <w:rFonts w:ascii="Times New Roman"/>
        </w:rPr>
      </w:pPr>
    </w:p>
    <w:p w14:paraId="468AA662">
      <w:pPr>
        <w:pStyle w:val="28"/>
        <w:snapToGrid w:val="0"/>
        <w:spacing w:line="300" w:lineRule="auto"/>
        <w:rPr>
          <w:rFonts w:ascii="Times New Roman"/>
        </w:rPr>
      </w:pPr>
    </w:p>
    <w:p w14:paraId="501DD14C">
      <w:pPr>
        <w:pStyle w:val="28"/>
        <w:snapToGrid w:val="0"/>
        <w:spacing w:line="300" w:lineRule="auto"/>
        <w:rPr>
          <w:rFonts w:ascii="Times New Roman"/>
        </w:rPr>
      </w:pPr>
    </w:p>
    <w:p w14:paraId="22F32654">
      <w:pPr>
        <w:pStyle w:val="28"/>
        <w:snapToGrid w:val="0"/>
        <w:spacing w:line="300" w:lineRule="auto"/>
        <w:rPr>
          <w:rFonts w:ascii="Times New Roman"/>
        </w:rPr>
      </w:pPr>
    </w:p>
    <w:p w14:paraId="6512368F">
      <w:pPr>
        <w:pStyle w:val="28"/>
        <w:snapToGrid w:val="0"/>
        <w:spacing w:line="300" w:lineRule="auto"/>
        <w:rPr>
          <w:rFonts w:ascii="Times New Roman"/>
        </w:rPr>
      </w:pPr>
    </w:p>
    <w:p w14:paraId="06C4082F">
      <w:pPr>
        <w:pStyle w:val="28"/>
        <w:snapToGrid w:val="0"/>
        <w:spacing w:line="300" w:lineRule="auto"/>
        <w:rPr>
          <w:rFonts w:ascii="Times New Roman"/>
        </w:rPr>
      </w:pPr>
    </w:p>
    <w:p w14:paraId="297AACB2">
      <w:pPr>
        <w:pStyle w:val="28"/>
        <w:snapToGrid w:val="0"/>
        <w:spacing w:line="300" w:lineRule="auto"/>
        <w:rPr>
          <w:rFonts w:ascii="Times New Roman"/>
        </w:rPr>
      </w:pPr>
    </w:p>
    <w:p w14:paraId="623FF64A">
      <w:pPr>
        <w:pStyle w:val="28"/>
        <w:snapToGrid w:val="0"/>
        <w:spacing w:line="300" w:lineRule="auto"/>
        <w:rPr>
          <w:rFonts w:ascii="Times New Roman"/>
        </w:rPr>
      </w:pPr>
    </w:p>
    <w:p w14:paraId="4AD8559D">
      <w:pPr>
        <w:pStyle w:val="28"/>
        <w:snapToGrid w:val="0"/>
        <w:spacing w:line="300" w:lineRule="auto"/>
        <w:rPr>
          <w:rFonts w:ascii="Times New Roman"/>
        </w:rPr>
      </w:pPr>
    </w:p>
    <w:p w14:paraId="685954FB">
      <w:pPr>
        <w:pStyle w:val="28"/>
        <w:snapToGrid w:val="0"/>
        <w:spacing w:line="300" w:lineRule="auto"/>
        <w:rPr>
          <w:rFonts w:ascii="Times New Roman"/>
        </w:rPr>
      </w:pPr>
    </w:p>
    <w:p w14:paraId="461DFF12">
      <w:pPr>
        <w:pStyle w:val="28"/>
        <w:snapToGrid w:val="0"/>
        <w:spacing w:line="300" w:lineRule="auto"/>
        <w:rPr>
          <w:rFonts w:ascii="Times New Roman"/>
        </w:rPr>
      </w:pPr>
    </w:p>
    <w:p w14:paraId="07CF1FDF">
      <w:pPr>
        <w:pStyle w:val="28"/>
        <w:snapToGrid w:val="0"/>
        <w:spacing w:line="300" w:lineRule="auto"/>
        <w:rPr>
          <w:rFonts w:ascii="Times New Roman"/>
        </w:rPr>
      </w:pPr>
    </w:p>
    <w:p w14:paraId="300668AF">
      <w:pPr>
        <w:pStyle w:val="28"/>
        <w:snapToGrid w:val="0"/>
        <w:spacing w:line="300" w:lineRule="auto"/>
        <w:rPr>
          <w:rFonts w:ascii="Times New Roman"/>
        </w:rPr>
      </w:pPr>
    </w:p>
    <w:p w14:paraId="00EABDAC">
      <w:pPr>
        <w:pStyle w:val="28"/>
        <w:snapToGrid w:val="0"/>
        <w:spacing w:line="300" w:lineRule="auto"/>
        <w:rPr>
          <w:rFonts w:ascii="Times New Roman"/>
        </w:rPr>
      </w:pPr>
    </w:p>
    <w:p w14:paraId="487B1686">
      <w:pPr>
        <w:pStyle w:val="28"/>
        <w:snapToGrid w:val="0"/>
        <w:spacing w:line="300" w:lineRule="auto"/>
        <w:rPr>
          <w:rFonts w:ascii="Times New Roman"/>
        </w:rPr>
      </w:pPr>
    </w:p>
    <w:p w14:paraId="351BDE82">
      <w:pPr>
        <w:pStyle w:val="28"/>
        <w:snapToGrid w:val="0"/>
        <w:spacing w:line="300" w:lineRule="auto"/>
        <w:rPr>
          <w:rFonts w:ascii="Times New Roman"/>
        </w:rPr>
      </w:pPr>
    </w:p>
    <w:p w14:paraId="0933FFA4">
      <w:pPr>
        <w:pStyle w:val="28"/>
        <w:snapToGrid w:val="0"/>
        <w:spacing w:line="300" w:lineRule="auto"/>
        <w:rPr>
          <w:rFonts w:ascii="Times New Roman"/>
        </w:rPr>
      </w:pPr>
    </w:p>
    <w:p w14:paraId="2AE2E4F6">
      <w:pPr>
        <w:pStyle w:val="28"/>
        <w:snapToGrid w:val="0"/>
        <w:spacing w:line="300" w:lineRule="auto"/>
        <w:rPr>
          <w:rFonts w:ascii="Times New Roman"/>
        </w:rPr>
      </w:pPr>
    </w:p>
    <w:p w14:paraId="5D76758D">
      <w:pPr>
        <w:pStyle w:val="28"/>
        <w:snapToGrid w:val="0"/>
        <w:spacing w:line="300" w:lineRule="auto"/>
        <w:rPr>
          <w:rFonts w:ascii="Times New Roman"/>
        </w:rPr>
      </w:pPr>
    </w:p>
    <w:p w14:paraId="2488874E">
      <w:pPr>
        <w:pStyle w:val="28"/>
        <w:snapToGrid w:val="0"/>
        <w:spacing w:line="300" w:lineRule="auto"/>
        <w:rPr>
          <w:rFonts w:ascii="Times New Roman"/>
        </w:rPr>
      </w:pPr>
    </w:p>
    <w:p w14:paraId="24BB7016">
      <w:pPr>
        <w:pStyle w:val="28"/>
        <w:snapToGrid w:val="0"/>
        <w:spacing w:line="300" w:lineRule="auto"/>
        <w:rPr>
          <w:rFonts w:ascii="Times New Roman"/>
        </w:rPr>
      </w:pPr>
    </w:p>
    <w:p w14:paraId="45C7D109">
      <w:pPr>
        <w:pStyle w:val="28"/>
        <w:snapToGrid w:val="0"/>
        <w:spacing w:line="300" w:lineRule="auto"/>
        <w:rPr>
          <w:rFonts w:ascii="Times New Roman"/>
        </w:rPr>
      </w:pPr>
    </w:p>
    <w:p w14:paraId="1DAB2654">
      <w:pPr>
        <w:pStyle w:val="28"/>
        <w:snapToGrid w:val="0"/>
        <w:spacing w:line="300" w:lineRule="auto"/>
        <w:rPr>
          <w:rFonts w:ascii="Times New Roman"/>
        </w:rPr>
      </w:pPr>
    </w:p>
    <w:p w14:paraId="49EA391C">
      <w:pPr>
        <w:pStyle w:val="28"/>
        <w:snapToGrid w:val="0"/>
        <w:spacing w:line="300" w:lineRule="auto"/>
        <w:rPr>
          <w:rFonts w:ascii="Times New Roman"/>
        </w:rPr>
      </w:pPr>
    </w:p>
    <w:p w14:paraId="399DC3C9">
      <w:pPr>
        <w:pStyle w:val="28"/>
        <w:snapToGrid w:val="0"/>
        <w:spacing w:line="300" w:lineRule="auto"/>
        <w:rPr>
          <w:rFonts w:ascii="Times New Roman"/>
        </w:rPr>
      </w:pPr>
    </w:p>
    <w:p w14:paraId="746CBCF9">
      <w:pPr>
        <w:pStyle w:val="28"/>
        <w:snapToGrid w:val="0"/>
        <w:spacing w:line="300" w:lineRule="auto"/>
        <w:rPr>
          <w:rFonts w:ascii="Times New Roman"/>
        </w:rPr>
      </w:pPr>
    </w:p>
    <w:p w14:paraId="0A9A9D30">
      <w:pPr>
        <w:pStyle w:val="28"/>
        <w:snapToGrid w:val="0"/>
        <w:spacing w:line="300" w:lineRule="auto"/>
        <w:rPr>
          <w:rFonts w:ascii="Times New Roman"/>
        </w:rPr>
      </w:pPr>
    </w:p>
    <w:p w14:paraId="688CF04F">
      <w:pPr>
        <w:pStyle w:val="28"/>
        <w:snapToGrid w:val="0"/>
        <w:spacing w:line="300" w:lineRule="auto"/>
        <w:rPr>
          <w:rFonts w:ascii="Times New Roman"/>
        </w:rPr>
      </w:pPr>
    </w:p>
    <w:p w14:paraId="01EBF78C">
      <w:pPr>
        <w:pStyle w:val="28"/>
        <w:snapToGrid w:val="0"/>
        <w:spacing w:line="300" w:lineRule="auto"/>
        <w:rPr>
          <w:rFonts w:ascii="Times New Roman"/>
        </w:rPr>
      </w:pPr>
    </w:p>
    <w:p w14:paraId="5484581A">
      <w:pPr>
        <w:jc w:val="center"/>
        <w:rPr>
          <w:rFonts w:eastAsia="黑体"/>
          <w:b/>
          <w:bCs/>
          <w:sz w:val="32"/>
          <w:szCs w:val="32"/>
        </w:rPr>
      </w:pPr>
    </w:p>
    <w:p w14:paraId="7434B7A9">
      <w:pPr>
        <w:pStyle w:val="28"/>
        <w:tabs>
          <w:tab w:val="clear" w:pos="4201"/>
          <w:tab w:val="clear" w:pos="9298"/>
        </w:tabs>
        <w:snapToGrid w:val="0"/>
        <w:spacing w:line="300" w:lineRule="auto"/>
        <w:ind w:firstLine="640"/>
        <w:jc w:val="center"/>
        <w:rPr>
          <w:rFonts w:ascii="Times New Roman" w:eastAsia="黑体"/>
          <w:sz w:val="32"/>
          <w:szCs w:val="32"/>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14:paraId="2576B38D">
      <w:pPr>
        <w:pStyle w:val="28"/>
        <w:tabs>
          <w:tab w:val="clear" w:pos="4201"/>
          <w:tab w:val="clear" w:pos="9298"/>
        </w:tabs>
        <w:snapToGrid w:val="0"/>
        <w:spacing w:line="300" w:lineRule="auto"/>
        <w:ind w:firstLine="640"/>
        <w:jc w:val="center"/>
        <w:rPr>
          <w:rFonts w:ascii="Times New Roman" w:eastAsia="黑体"/>
          <w:sz w:val="32"/>
          <w:szCs w:val="32"/>
        </w:rPr>
      </w:pPr>
      <w:r>
        <w:rPr>
          <w:rFonts w:ascii="Times New Roman" w:eastAsia="黑体"/>
          <w:sz w:val="32"/>
          <w:szCs w:val="32"/>
        </w:rPr>
        <w:t xml:space="preserve">温室气体 产品碳足迹量化方法与要求 </w:t>
      </w:r>
    </w:p>
    <w:p w14:paraId="55D2E417">
      <w:pPr>
        <w:pStyle w:val="28"/>
        <w:tabs>
          <w:tab w:val="clear" w:pos="4201"/>
          <w:tab w:val="clear" w:pos="9298"/>
        </w:tabs>
        <w:snapToGrid w:val="0"/>
        <w:spacing w:line="300" w:lineRule="auto"/>
        <w:ind w:firstLine="640"/>
        <w:jc w:val="center"/>
        <w:rPr>
          <w:rFonts w:ascii="Times New Roman" w:eastAsia="黑体"/>
          <w:sz w:val="32"/>
          <w:szCs w:val="32"/>
        </w:rPr>
      </w:pPr>
      <w:r>
        <w:rPr>
          <w:rFonts w:ascii="Times New Roman" w:eastAsia="黑体"/>
          <w:sz w:val="32"/>
          <w:szCs w:val="32"/>
        </w:rPr>
        <w:t>暖通空调及净化设备</w:t>
      </w:r>
    </w:p>
    <w:p w14:paraId="16852538">
      <w:pPr>
        <w:pStyle w:val="2"/>
        <w:keepNext w:val="0"/>
        <w:keepLines w:val="0"/>
        <w:spacing w:before="312" w:beforeLines="100" w:after="312" w:afterLines="100" w:line="240" w:lineRule="auto"/>
        <w:rPr>
          <w:rFonts w:eastAsia="黑体"/>
          <w:bCs w:val="0"/>
          <w:kern w:val="2"/>
          <w:sz w:val="21"/>
          <w:szCs w:val="21"/>
        </w:rPr>
      </w:pPr>
      <w:bookmarkStart w:id="13" w:name="_Toc211864621"/>
      <w:r>
        <w:rPr>
          <w:rFonts w:eastAsia="黑体"/>
          <w:bCs w:val="0"/>
          <w:kern w:val="2"/>
          <w:sz w:val="21"/>
          <w:szCs w:val="21"/>
        </w:rPr>
        <w:t>1范围</w:t>
      </w:r>
      <w:bookmarkEnd w:id="13"/>
    </w:p>
    <w:p w14:paraId="0CF1872D">
      <w:pPr>
        <w:pStyle w:val="53"/>
        <w:numPr>
          <w:ilvl w:val="0"/>
          <w:numId w:val="0"/>
        </w:numPr>
        <w:spacing w:beforeLines="0" w:afterLines="0" w:line="360" w:lineRule="auto"/>
        <w:ind w:firstLine="420"/>
        <w:outlineLvl w:val="9"/>
        <w:rPr>
          <w:rFonts w:ascii="Times New Roman" w:eastAsia="宋体"/>
        </w:rPr>
      </w:pPr>
      <w:r>
        <w:rPr>
          <w:rFonts w:ascii="Times New Roman" w:eastAsia="宋体"/>
        </w:rPr>
        <w:t>本文件规定了</w:t>
      </w:r>
      <w:bookmarkStart w:id="14" w:name="OLE_LINK9"/>
      <w:r>
        <w:rPr>
          <w:rFonts w:ascii="Times New Roman" w:eastAsia="宋体"/>
        </w:rPr>
        <w:t>暖通空调及净化设备</w:t>
      </w:r>
      <w:bookmarkEnd w:id="14"/>
      <w:r>
        <w:rPr>
          <w:rFonts w:ascii="Times New Roman" w:eastAsia="宋体"/>
        </w:rPr>
        <w:t>碳足迹</w:t>
      </w:r>
      <w:bookmarkStart w:id="15" w:name="_Hlk143806371"/>
      <w:r>
        <w:rPr>
          <w:rFonts w:ascii="Times New Roman" w:eastAsia="宋体"/>
        </w:rPr>
        <w:t>量化的目的、范围、生命周期清单分析、产品碳足迹影响评价、产品碳足迹结果解释及产品碳足迹报告。</w:t>
      </w:r>
    </w:p>
    <w:bookmarkEnd w:id="15"/>
    <w:p w14:paraId="28DB74CF">
      <w:pPr>
        <w:pStyle w:val="53"/>
        <w:numPr>
          <w:ilvl w:val="0"/>
          <w:numId w:val="0"/>
        </w:numPr>
        <w:spacing w:beforeLines="0" w:afterLines="0" w:line="360" w:lineRule="auto"/>
        <w:ind w:firstLine="420" w:firstLineChars="200"/>
        <w:outlineLvl w:val="9"/>
        <w:rPr>
          <w:rFonts w:ascii="Times New Roman" w:eastAsia="宋体"/>
        </w:rPr>
      </w:pPr>
      <w:r>
        <w:rPr>
          <w:rFonts w:ascii="Times New Roman" w:eastAsia="宋体"/>
        </w:rPr>
        <w:t>本文件适用于暖通空调及净化设备的产品碳足迹量化。本文件可用于暖通空调及净化设备全生命周期碳排放核算，也可用于部分生命周期碳排放的核算。</w:t>
      </w:r>
    </w:p>
    <w:p w14:paraId="061CEA2A">
      <w:pPr>
        <w:pStyle w:val="2"/>
        <w:keepNext w:val="0"/>
        <w:keepLines w:val="0"/>
        <w:spacing w:before="312" w:beforeLines="100" w:after="312" w:afterLines="100" w:line="240" w:lineRule="auto"/>
        <w:rPr>
          <w:rFonts w:eastAsia="黑体"/>
          <w:bCs w:val="0"/>
          <w:kern w:val="2"/>
          <w:sz w:val="21"/>
          <w:szCs w:val="21"/>
        </w:rPr>
      </w:pPr>
      <w:bookmarkStart w:id="16" w:name="_Toc211864622"/>
      <w:r>
        <w:rPr>
          <w:rFonts w:eastAsia="黑体"/>
          <w:bCs w:val="0"/>
          <w:kern w:val="2"/>
          <w:sz w:val="21"/>
          <w:szCs w:val="21"/>
        </w:rPr>
        <w:t>2规范性引用文件</w:t>
      </w:r>
      <w:bookmarkEnd w:id="16"/>
    </w:p>
    <w:p w14:paraId="1E50133E">
      <w:pPr>
        <w:spacing w:line="360" w:lineRule="auto"/>
        <w:ind w:firstLine="420" w:firstLineChars="200"/>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5164177A">
      <w:pPr>
        <w:pStyle w:val="28"/>
        <w:spacing w:line="360" w:lineRule="auto"/>
        <w:rPr>
          <w:rFonts w:ascii="Times New Roman"/>
        </w:rPr>
      </w:pPr>
      <w:r>
        <w:rPr>
          <w:rFonts w:ascii="Times New Roman"/>
          <w:szCs w:val="21"/>
        </w:rPr>
        <w:t xml:space="preserve">GB/T 24040 </w:t>
      </w:r>
      <w:r>
        <w:rPr>
          <w:rFonts w:ascii="Times New Roman"/>
        </w:rPr>
        <w:t>环境管理 生命周期评价 原则与框架</w:t>
      </w:r>
    </w:p>
    <w:p w14:paraId="07E5815C">
      <w:pPr>
        <w:pStyle w:val="28"/>
        <w:spacing w:line="360" w:lineRule="auto"/>
        <w:rPr>
          <w:rFonts w:ascii="Times New Roman"/>
        </w:rPr>
      </w:pPr>
      <w:r>
        <w:rPr>
          <w:rFonts w:ascii="Times New Roman"/>
          <w:szCs w:val="21"/>
        </w:rPr>
        <w:t xml:space="preserve">GB/T 24044 </w:t>
      </w:r>
      <w:r>
        <w:rPr>
          <w:rFonts w:ascii="Times New Roman"/>
        </w:rPr>
        <w:t>环境管理 生命周期评价 要求与指南</w:t>
      </w:r>
    </w:p>
    <w:p w14:paraId="7418F8DA">
      <w:pPr>
        <w:pStyle w:val="28"/>
        <w:spacing w:line="360" w:lineRule="auto"/>
        <w:rPr>
          <w:rFonts w:ascii="Times New Roman"/>
          <w:szCs w:val="21"/>
        </w:rPr>
      </w:pPr>
      <w:r>
        <w:rPr>
          <w:rFonts w:ascii="Times New Roman"/>
          <w:szCs w:val="21"/>
        </w:rPr>
        <w:t>GB/T 24067 温室气体 产品碳足迹量化要求和指南</w:t>
      </w:r>
    </w:p>
    <w:p w14:paraId="0AA063CB">
      <w:pPr>
        <w:pStyle w:val="28"/>
        <w:spacing w:line="360" w:lineRule="auto"/>
        <w:rPr>
          <w:rFonts w:ascii="Times New Roman"/>
        </w:rPr>
      </w:pPr>
      <w:r>
        <w:rPr>
          <w:rFonts w:ascii="Times New Roman"/>
          <w:szCs w:val="21"/>
        </w:rPr>
        <w:t>GB/T 32150 工业企业</w:t>
      </w:r>
      <w:r>
        <w:rPr>
          <w:rFonts w:ascii="Times New Roman"/>
        </w:rPr>
        <w:t>温室气体排放核算和报告通则</w:t>
      </w:r>
    </w:p>
    <w:p w14:paraId="04C6AB48">
      <w:pPr>
        <w:pStyle w:val="28"/>
        <w:spacing w:line="360" w:lineRule="auto"/>
        <w:rPr>
          <w:rFonts w:ascii="Times New Roman"/>
          <w:szCs w:val="21"/>
        </w:rPr>
      </w:pPr>
      <w:bookmarkStart w:id="17" w:name="OLE_LINK16"/>
      <w:r>
        <w:rPr>
          <w:rFonts w:ascii="Times New Roman"/>
          <w:szCs w:val="21"/>
        </w:rPr>
        <w:t>GB/T 3288</w:t>
      </w:r>
      <w:bookmarkEnd w:id="17"/>
      <w:r>
        <w:rPr>
          <w:rFonts w:ascii="Times New Roman"/>
          <w:szCs w:val="21"/>
        </w:rPr>
        <w:t>6 电子电气产品可回收利用材料选择导则</w:t>
      </w:r>
    </w:p>
    <w:p w14:paraId="7D028A06">
      <w:pPr>
        <w:pStyle w:val="28"/>
        <w:spacing w:line="360" w:lineRule="auto"/>
        <w:rPr>
          <w:rFonts w:ascii="Times New Roman"/>
        </w:rPr>
      </w:pPr>
      <w:r>
        <w:rPr>
          <w:rFonts w:ascii="Times New Roman"/>
          <w:szCs w:val="21"/>
        </w:rPr>
        <w:t xml:space="preserve">GB/T 50155 </w:t>
      </w:r>
      <w:r>
        <w:rPr>
          <w:rFonts w:ascii="Times New Roman"/>
        </w:rPr>
        <w:t>供暖通风与空气调节术语标准</w:t>
      </w:r>
    </w:p>
    <w:p w14:paraId="657607DB">
      <w:pPr>
        <w:pStyle w:val="2"/>
        <w:keepNext w:val="0"/>
        <w:keepLines w:val="0"/>
        <w:spacing w:before="312" w:beforeLines="100" w:after="312" w:afterLines="100" w:line="240" w:lineRule="auto"/>
        <w:rPr>
          <w:rFonts w:eastAsia="黑体"/>
          <w:bCs w:val="0"/>
          <w:kern w:val="2"/>
          <w:sz w:val="21"/>
          <w:szCs w:val="21"/>
        </w:rPr>
      </w:pPr>
      <w:bookmarkStart w:id="18" w:name="_Toc211864623"/>
      <w:r>
        <w:rPr>
          <w:rFonts w:eastAsia="黑体"/>
          <w:bCs w:val="0"/>
          <w:kern w:val="2"/>
          <w:sz w:val="21"/>
          <w:szCs w:val="21"/>
        </w:rPr>
        <w:t>3术语和定义</w:t>
      </w:r>
      <w:bookmarkEnd w:id="18"/>
    </w:p>
    <w:p w14:paraId="7C184A2D">
      <w:pPr>
        <w:spacing w:line="360" w:lineRule="auto"/>
        <w:ind w:firstLine="630" w:firstLineChars="300"/>
      </w:pPr>
      <w:r>
        <w:rPr>
          <w:szCs w:val="21"/>
        </w:rPr>
        <w:t>GB/T 24040、GB/T 24044、GB/T 24067、GB/T 32150、</w:t>
      </w:r>
      <w:r>
        <w:t>GB/T 50155界定的以及下列术语和定义适用于本文件。</w:t>
      </w:r>
    </w:p>
    <w:p w14:paraId="4AE29696">
      <w:pPr>
        <w:spacing w:line="360" w:lineRule="auto"/>
        <w:rPr>
          <w:rFonts w:eastAsia="黑体"/>
        </w:rPr>
      </w:pPr>
      <w:r>
        <w:rPr>
          <w:rFonts w:eastAsia="黑体"/>
        </w:rPr>
        <w:t xml:space="preserve">3.1 </w:t>
      </w:r>
    </w:p>
    <w:p w14:paraId="71B7C43E">
      <w:pPr>
        <w:spacing w:line="360" w:lineRule="auto"/>
        <w:ind w:firstLine="420" w:firstLineChars="200"/>
      </w:pPr>
      <w:r>
        <w:rPr>
          <w:rFonts w:eastAsia="黑体"/>
        </w:rPr>
        <w:t xml:space="preserve">暖通空调及净化设备 </w:t>
      </w:r>
      <w:r>
        <w:t>h</w:t>
      </w:r>
      <w:r>
        <w:rPr>
          <w:rFonts w:hint="eastAsia"/>
        </w:rPr>
        <w:t xml:space="preserve">eating, </w:t>
      </w:r>
      <w:r>
        <w:t>v</w:t>
      </w:r>
      <w:r>
        <w:rPr>
          <w:rFonts w:hint="eastAsia"/>
        </w:rPr>
        <w:t xml:space="preserve">entilation, and </w:t>
      </w:r>
      <w:r>
        <w:t>a</w:t>
      </w:r>
      <w:r>
        <w:rPr>
          <w:rFonts w:hint="eastAsia"/>
        </w:rPr>
        <w:t xml:space="preserve">ir </w:t>
      </w:r>
      <w:r>
        <w:t>c</w:t>
      </w:r>
      <w:r>
        <w:rPr>
          <w:rFonts w:hint="eastAsia"/>
        </w:rPr>
        <w:t>onditioning（HVAC） and air cleaning equipment</w:t>
      </w:r>
      <w:r>
        <w:rPr>
          <w:rFonts w:hint="eastAsia"/>
        </w:rPr>
        <w:tab/>
      </w:r>
    </w:p>
    <w:p w14:paraId="31F070DD">
      <w:pPr>
        <w:pStyle w:val="28"/>
        <w:spacing w:line="360" w:lineRule="auto"/>
        <w:rPr>
          <w:rFonts w:ascii="Times New Roman"/>
        </w:rPr>
      </w:pPr>
      <w:r>
        <w:rPr>
          <w:rFonts w:ascii="Times New Roman"/>
        </w:rPr>
        <w:t>通过技术手段控制建筑内部温度、湿度、空气流动及洁净度的设备或装置，包括供暖设备、通风设备、空气调节设备和空气净化设备。</w:t>
      </w:r>
    </w:p>
    <w:p w14:paraId="0DF211C8">
      <w:pPr>
        <w:spacing w:line="360" w:lineRule="auto"/>
        <w:rPr>
          <w:rFonts w:eastAsia="黑体"/>
        </w:rPr>
      </w:pPr>
      <w:r>
        <w:rPr>
          <w:rFonts w:eastAsia="黑体"/>
        </w:rPr>
        <w:t xml:space="preserve">3.2 </w:t>
      </w:r>
    </w:p>
    <w:p w14:paraId="1AA0EE30">
      <w:pPr>
        <w:spacing w:line="360" w:lineRule="auto"/>
        <w:ind w:firstLine="420" w:firstLineChars="200"/>
        <w:rPr>
          <w:rFonts w:eastAsia="黑体"/>
        </w:rPr>
      </w:pPr>
      <w:r>
        <w:rPr>
          <w:rFonts w:eastAsia="黑体"/>
        </w:rPr>
        <w:t>终端消费产品terminal consumer products</w:t>
      </w:r>
    </w:p>
    <w:p w14:paraId="2ADE7AAF">
      <w:pPr>
        <w:pStyle w:val="28"/>
        <w:spacing w:line="360" w:lineRule="auto"/>
        <w:jc w:val="left"/>
        <w:rPr>
          <w:rFonts w:ascii="Times New Roman"/>
        </w:rPr>
      </w:pPr>
      <w:r>
        <w:rPr>
          <w:rFonts w:ascii="Times New Roman"/>
        </w:rPr>
        <w:t>能够独立运行、直接向使用场景提供暖通空调及净化服务的设备，其功能实现不依赖于其他设备的协同运行，运行能耗由自身性能决定。</w:t>
      </w:r>
    </w:p>
    <w:p w14:paraId="34155DD9">
      <w:pPr>
        <w:spacing w:line="360" w:lineRule="auto"/>
        <w:ind w:right="10"/>
        <w:rPr>
          <w:rFonts w:eastAsia="黑体"/>
        </w:rPr>
      </w:pPr>
      <w:r>
        <w:rPr>
          <w:rFonts w:eastAsia="黑体"/>
        </w:rPr>
        <w:t xml:space="preserve">3.3 </w:t>
      </w:r>
    </w:p>
    <w:p w14:paraId="32BE123E">
      <w:pPr>
        <w:spacing w:line="360" w:lineRule="auto"/>
        <w:ind w:right="10" w:firstLine="420" w:firstLineChars="200"/>
        <w:rPr>
          <w:rFonts w:eastAsia="黑体"/>
        </w:rPr>
      </w:pPr>
      <w:r>
        <w:rPr>
          <w:rFonts w:eastAsia="黑体"/>
        </w:rPr>
        <w:t>非终端消费产品non-terminal consumer products</w:t>
      </w:r>
    </w:p>
    <w:p w14:paraId="5AAE9F02">
      <w:pPr>
        <w:spacing w:line="360" w:lineRule="auto"/>
        <w:ind w:firstLine="420" w:firstLineChars="200"/>
      </w:pPr>
      <w:r>
        <w:t>需要与其他设备共同构成完整系统才能实现暖通空调及净化服务的设备，其运行能耗受系统内其他设备性能及系统协同效率的影响。</w:t>
      </w:r>
      <w:bookmarkStart w:id="19" w:name="OLE_LINK2"/>
    </w:p>
    <w:p w14:paraId="7026AF51">
      <w:pPr>
        <w:spacing w:line="360" w:lineRule="auto"/>
        <w:rPr>
          <w:rFonts w:eastAsia="黑体"/>
        </w:rPr>
      </w:pPr>
      <w:r>
        <w:rPr>
          <w:rFonts w:eastAsia="黑体"/>
        </w:rPr>
        <w:t xml:space="preserve">3.4 </w:t>
      </w:r>
    </w:p>
    <w:p w14:paraId="0556DACB">
      <w:pPr>
        <w:spacing w:line="360" w:lineRule="auto"/>
        <w:ind w:firstLine="420" w:firstLineChars="200"/>
        <w:rPr>
          <w:rFonts w:eastAsia="黑体"/>
        </w:rPr>
      </w:pPr>
      <w:r>
        <w:rPr>
          <w:rFonts w:eastAsia="黑体"/>
        </w:rPr>
        <w:t>温室气体 greenhouse gas</w:t>
      </w:r>
    </w:p>
    <w:p w14:paraId="172098E2">
      <w:pPr>
        <w:spacing w:line="360" w:lineRule="auto"/>
        <w:ind w:firstLine="420" w:firstLineChars="200"/>
        <w:rPr>
          <w:rFonts w:eastAsia="黑体"/>
        </w:rPr>
      </w:pPr>
      <w:r>
        <w:rPr>
          <w:rFonts w:eastAsia="黑体"/>
        </w:rPr>
        <w:t>GHG</w:t>
      </w:r>
    </w:p>
    <w:p w14:paraId="5895E3A7">
      <w:pPr>
        <w:spacing w:line="360" w:lineRule="auto"/>
        <w:ind w:firstLine="420" w:firstLineChars="200"/>
        <w:rPr>
          <w:kern w:val="0"/>
          <w:szCs w:val="20"/>
        </w:rPr>
      </w:pPr>
      <w:r>
        <w:rPr>
          <w:kern w:val="0"/>
          <w:szCs w:val="20"/>
        </w:rPr>
        <w:t>大气层中自然存在的和由于人类活动产生的能够吸收和散发由地球表面、大气层和云层产生的、波长在红外光谱内的辐射的气态成分。</w:t>
      </w:r>
    </w:p>
    <w:p w14:paraId="18ADD92B">
      <w:pPr>
        <w:spacing w:line="360" w:lineRule="auto"/>
        <w:ind w:right="10" w:firstLine="419"/>
        <w:rPr>
          <w:kern w:val="0"/>
          <w:sz w:val="18"/>
          <w:szCs w:val="18"/>
        </w:rPr>
      </w:pPr>
      <w:r>
        <w:rPr>
          <w:kern w:val="0"/>
          <w:sz w:val="18"/>
          <w:szCs w:val="18"/>
        </w:rPr>
        <w:t>注：本</w:t>
      </w:r>
      <w:r>
        <w:rPr>
          <w:rFonts w:hint="eastAsia"/>
          <w:kern w:val="0"/>
          <w:sz w:val="18"/>
          <w:szCs w:val="18"/>
        </w:rPr>
        <w:t>文件</w:t>
      </w:r>
      <w:r>
        <w:rPr>
          <w:kern w:val="0"/>
          <w:sz w:val="18"/>
          <w:szCs w:val="18"/>
        </w:rPr>
        <w:t>中的温室气体包括二氧化碳(CO</w:t>
      </w:r>
      <w:r>
        <w:rPr>
          <w:kern w:val="0"/>
          <w:sz w:val="18"/>
          <w:szCs w:val="18"/>
          <w:vertAlign w:val="subscript"/>
        </w:rPr>
        <w:t>2</w:t>
      </w:r>
      <w:r>
        <w:rPr>
          <w:kern w:val="0"/>
          <w:sz w:val="18"/>
          <w:szCs w:val="18"/>
        </w:rPr>
        <w:t>)、甲烷(CH</w:t>
      </w:r>
      <w:r>
        <w:rPr>
          <w:kern w:val="0"/>
          <w:sz w:val="18"/>
          <w:szCs w:val="18"/>
          <w:vertAlign w:val="subscript"/>
        </w:rPr>
        <w:t>4</w:t>
      </w:r>
      <w:r>
        <w:rPr>
          <w:kern w:val="0"/>
          <w:sz w:val="18"/>
          <w:szCs w:val="18"/>
        </w:rPr>
        <w:t>)、氧化亚氮(N</w:t>
      </w:r>
      <w:r>
        <w:rPr>
          <w:kern w:val="0"/>
          <w:sz w:val="18"/>
          <w:szCs w:val="18"/>
          <w:vertAlign w:val="subscript"/>
        </w:rPr>
        <w:t>2</w:t>
      </w:r>
      <w:r>
        <w:rPr>
          <w:kern w:val="0"/>
          <w:sz w:val="18"/>
          <w:szCs w:val="18"/>
        </w:rPr>
        <w:t>O)、氢氟碳化物(HFCs)、全氟碳化物(PFCs)、六氟化硫(SF</w:t>
      </w:r>
      <w:r>
        <w:rPr>
          <w:kern w:val="0"/>
          <w:sz w:val="18"/>
          <w:szCs w:val="18"/>
          <w:vertAlign w:val="subscript"/>
        </w:rPr>
        <w:t>6</w:t>
      </w:r>
      <w:r>
        <w:rPr>
          <w:kern w:val="0"/>
          <w:sz w:val="18"/>
          <w:szCs w:val="18"/>
        </w:rPr>
        <w:t>)与三氟化氮(NF</w:t>
      </w:r>
      <w:r>
        <w:rPr>
          <w:kern w:val="0"/>
          <w:sz w:val="18"/>
          <w:szCs w:val="18"/>
          <w:vertAlign w:val="subscript"/>
        </w:rPr>
        <w:t>3</w:t>
      </w:r>
      <w:r>
        <w:rPr>
          <w:kern w:val="0"/>
          <w:sz w:val="18"/>
          <w:szCs w:val="18"/>
        </w:rPr>
        <w:t>)，均以二氧化碳当量表示。</w:t>
      </w:r>
    </w:p>
    <w:p w14:paraId="68276E25">
      <w:pPr>
        <w:spacing w:line="360" w:lineRule="auto"/>
        <w:ind w:right="10" w:firstLine="419"/>
        <w:rPr>
          <w:kern w:val="0"/>
          <w:szCs w:val="20"/>
        </w:rPr>
      </w:pPr>
      <w:r>
        <w:rPr>
          <w:kern w:val="0"/>
          <w:szCs w:val="20"/>
        </w:rPr>
        <w:t>[来源</w:t>
      </w:r>
      <w:r>
        <w:rPr>
          <w:rFonts w:hint="eastAsia"/>
          <w:kern w:val="0"/>
          <w:szCs w:val="20"/>
        </w:rPr>
        <w:t>：</w:t>
      </w:r>
      <w:r>
        <w:rPr>
          <w:kern w:val="0"/>
          <w:szCs w:val="20"/>
        </w:rPr>
        <w:t>GB/T</w:t>
      </w:r>
      <w:r>
        <w:rPr>
          <w:rFonts w:hint="eastAsia"/>
          <w:kern w:val="0"/>
          <w:szCs w:val="20"/>
        </w:rPr>
        <w:t xml:space="preserve"> </w:t>
      </w:r>
      <w:r>
        <w:rPr>
          <w:kern w:val="0"/>
          <w:szCs w:val="20"/>
        </w:rPr>
        <w:t>24067—2024</w:t>
      </w:r>
      <w:r>
        <w:rPr>
          <w:rFonts w:hint="eastAsia"/>
          <w:kern w:val="0"/>
          <w:szCs w:val="20"/>
        </w:rPr>
        <w:t>，</w:t>
      </w:r>
      <w:r>
        <w:rPr>
          <w:kern w:val="0"/>
          <w:szCs w:val="20"/>
        </w:rPr>
        <w:t>3.2.1]</w:t>
      </w:r>
    </w:p>
    <w:p w14:paraId="094B5770">
      <w:pPr>
        <w:spacing w:line="360" w:lineRule="auto"/>
        <w:rPr>
          <w:rFonts w:eastAsia="黑体"/>
        </w:rPr>
      </w:pPr>
      <w:r>
        <w:rPr>
          <w:rFonts w:eastAsia="黑体"/>
        </w:rPr>
        <w:t xml:space="preserve">3.5 </w:t>
      </w:r>
    </w:p>
    <w:bookmarkEnd w:id="19"/>
    <w:p w14:paraId="5C8736A4">
      <w:pPr>
        <w:spacing w:line="360" w:lineRule="auto"/>
        <w:ind w:firstLine="420" w:firstLineChars="200"/>
        <w:rPr>
          <w:rFonts w:eastAsia="黑体"/>
        </w:rPr>
      </w:pPr>
      <w:r>
        <w:rPr>
          <w:rFonts w:eastAsia="黑体"/>
        </w:rPr>
        <w:t>产品碳足迹 carbon footprint of a product</w:t>
      </w:r>
    </w:p>
    <w:p w14:paraId="2A660808">
      <w:pPr>
        <w:spacing w:line="360" w:lineRule="auto"/>
        <w:ind w:firstLine="420" w:firstLineChars="200"/>
        <w:rPr>
          <w:rFonts w:eastAsia="黑体"/>
        </w:rPr>
      </w:pPr>
      <w:r>
        <w:rPr>
          <w:rFonts w:eastAsia="黑体"/>
        </w:rPr>
        <w:t>CFP</w:t>
      </w:r>
    </w:p>
    <w:p w14:paraId="274ED20E">
      <w:pPr>
        <w:spacing w:line="360" w:lineRule="auto"/>
        <w:ind w:right="10" w:firstLine="419"/>
        <w:rPr>
          <w:kern w:val="0"/>
          <w:szCs w:val="20"/>
        </w:rPr>
      </w:pPr>
      <w:r>
        <w:rPr>
          <w:kern w:val="0"/>
          <w:szCs w:val="20"/>
        </w:rPr>
        <w:t>产品系统中的温室气体排放量和温室气体清除量之和，以二氧化碳当量表示，并基于气候变化这一单一环境影响类型进行生命周期评价。</w:t>
      </w:r>
    </w:p>
    <w:p w14:paraId="15DD30F0">
      <w:pPr>
        <w:spacing w:line="360" w:lineRule="auto"/>
        <w:ind w:right="10" w:firstLine="419"/>
        <w:rPr>
          <w:kern w:val="0"/>
          <w:szCs w:val="20"/>
        </w:rPr>
      </w:pPr>
      <w:r>
        <w:rPr>
          <w:kern w:val="0"/>
          <w:szCs w:val="20"/>
        </w:rPr>
        <w:t>[来源</w:t>
      </w:r>
      <w:r>
        <w:rPr>
          <w:rFonts w:hint="eastAsia"/>
          <w:kern w:val="0"/>
          <w:szCs w:val="20"/>
        </w:rPr>
        <w:t>：</w:t>
      </w:r>
      <w:r>
        <w:rPr>
          <w:kern w:val="0"/>
          <w:szCs w:val="20"/>
        </w:rPr>
        <w:t>GB/T24067—2024</w:t>
      </w:r>
      <w:r>
        <w:rPr>
          <w:rFonts w:hint="eastAsia"/>
          <w:kern w:val="0"/>
          <w:szCs w:val="20"/>
        </w:rPr>
        <w:t>，</w:t>
      </w:r>
      <w:r>
        <w:rPr>
          <w:kern w:val="0"/>
          <w:szCs w:val="20"/>
        </w:rPr>
        <w:t>3.1.1]</w:t>
      </w:r>
    </w:p>
    <w:p w14:paraId="61AB3676">
      <w:pPr>
        <w:spacing w:line="360" w:lineRule="auto"/>
        <w:rPr>
          <w:rFonts w:eastAsia="黑体"/>
        </w:rPr>
      </w:pPr>
      <w:r>
        <w:rPr>
          <w:rFonts w:eastAsia="黑体"/>
        </w:rPr>
        <w:t xml:space="preserve">3.6 </w:t>
      </w:r>
    </w:p>
    <w:p w14:paraId="2BA43959">
      <w:pPr>
        <w:spacing w:line="360" w:lineRule="auto"/>
        <w:ind w:firstLine="420" w:firstLineChars="200"/>
        <w:rPr>
          <w:rFonts w:eastAsia="黑体"/>
        </w:rPr>
      </w:pPr>
      <w:r>
        <w:rPr>
          <w:rFonts w:eastAsia="黑体"/>
        </w:rPr>
        <w:t>产品部分碳足迹  partial carbon footprint of a product</w:t>
      </w:r>
    </w:p>
    <w:p w14:paraId="00552D74">
      <w:pPr>
        <w:spacing w:line="360" w:lineRule="auto"/>
        <w:ind w:firstLine="420" w:firstLineChars="200"/>
        <w:rPr>
          <w:rFonts w:eastAsia="黑体"/>
        </w:rPr>
      </w:pPr>
      <w:r>
        <w:rPr>
          <w:rFonts w:eastAsia="黑体"/>
        </w:rPr>
        <w:t>partial CFP</w:t>
      </w:r>
    </w:p>
    <w:p w14:paraId="5EBD73C9">
      <w:pPr>
        <w:spacing w:line="360" w:lineRule="auto"/>
        <w:ind w:right="10" w:firstLine="419"/>
        <w:rPr>
          <w:kern w:val="0"/>
          <w:szCs w:val="20"/>
        </w:rPr>
      </w:pPr>
      <w:r>
        <w:rPr>
          <w:kern w:val="0"/>
          <w:szCs w:val="20"/>
        </w:rPr>
        <w:t>在产品系统生命周期内的一个或多个选定阶段或过程中的GHG 排放量和GHG 清除量之和，并以二氧化碳当量表示。</w:t>
      </w:r>
    </w:p>
    <w:p w14:paraId="250FCC26">
      <w:pPr>
        <w:spacing w:line="360" w:lineRule="auto"/>
        <w:ind w:right="10" w:firstLine="419"/>
        <w:rPr>
          <w:kern w:val="0"/>
          <w:szCs w:val="20"/>
        </w:rPr>
      </w:pPr>
      <w:r>
        <w:rPr>
          <w:kern w:val="0"/>
          <w:szCs w:val="20"/>
        </w:rPr>
        <w:t>[来源</w:t>
      </w:r>
      <w:r>
        <w:rPr>
          <w:rFonts w:hint="eastAsia"/>
          <w:kern w:val="0"/>
          <w:szCs w:val="20"/>
        </w:rPr>
        <w:t>：</w:t>
      </w:r>
      <w:r>
        <w:rPr>
          <w:kern w:val="0"/>
          <w:szCs w:val="20"/>
        </w:rPr>
        <w:t>GB/T24067—2024</w:t>
      </w:r>
      <w:r>
        <w:rPr>
          <w:rFonts w:hint="eastAsia"/>
          <w:kern w:val="0"/>
          <w:szCs w:val="20"/>
        </w:rPr>
        <w:t>，</w:t>
      </w:r>
      <w:r>
        <w:rPr>
          <w:kern w:val="0"/>
          <w:szCs w:val="20"/>
        </w:rPr>
        <w:t>3.1.2]</w:t>
      </w:r>
    </w:p>
    <w:p w14:paraId="6A17A5C5">
      <w:pPr>
        <w:spacing w:line="360" w:lineRule="auto"/>
        <w:rPr>
          <w:rFonts w:eastAsia="黑体"/>
        </w:rPr>
      </w:pPr>
      <w:r>
        <w:rPr>
          <w:rFonts w:eastAsia="黑体"/>
        </w:rPr>
        <w:t xml:space="preserve">3.7 </w:t>
      </w:r>
    </w:p>
    <w:p w14:paraId="3CA5BCA9">
      <w:pPr>
        <w:spacing w:line="360" w:lineRule="auto"/>
        <w:ind w:firstLine="420" w:firstLineChars="200"/>
        <w:rPr>
          <w:spacing w:val="12"/>
          <w:sz w:val="20"/>
          <w:szCs w:val="20"/>
        </w:rPr>
      </w:pPr>
      <w:r>
        <w:rPr>
          <w:rFonts w:eastAsia="黑体"/>
        </w:rPr>
        <w:t>功能单位 functional unit</w:t>
      </w:r>
      <w:r>
        <w:rPr>
          <w:spacing w:val="12"/>
          <w:sz w:val="20"/>
          <w:szCs w:val="20"/>
        </w:rPr>
        <w:t xml:space="preserve"> </w:t>
      </w:r>
    </w:p>
    <w:p w14:paraId="3D437F9A">
      <w:pPr>
        <w:spacing w:line="360" w:lineRule="auto"/>
        <w:ind w:firstLine="420" w:firstLineChars="200"/>
        <w:rPr>
          <w:kern w:val="0"/>
          <w:szCs w:val="20"/>
        </w:rPr>
      </w:pPr>
      <w:r>
        <w:rPr>
          <w:kern w:val="0"/>
          <w:szCs w:val="20"/>
        </w:rPr>
        <w:t xml:space="preserve">用来量化产品系统功能的基准单位。 </w:t>
      </w:r>
    </w:p>
    <w:p w14:paraId="61831979">
      <w:pPr>
        <w:spacing w:line="360" w:lineRule="auto"/>
        <w:ind w:firstLine="420" w:firstLineChars="200"/>
        <w:rPr>
          <w:kern w:val="0"/>
          <w:szCs w:val="20"/>
        </w:rPr>
      </w:pPr>
      <w:r>
        <w:rPr>
          <w:kern w:val="0"/>
          <w:szCs w:val="20"/>
        </w:rPr>
        <w:t>[来源</w:t>
      </w:r>
      <w:r>
        <w:rPr>
          <w:rFonts w:hint="eastAsia"/>
          <w:kern w:val="0"/>
          <w:szCs w:val="20"/>
        </w:rPr>
        <w:t>：</w:t>
      </w:r>
      <w:r>
        <w:rPr>
          <w:kern w:val="0"/>
          <w:szCs w:val="20"/>
        </w:rPr>
        <w:t>GB/T24040—2008</w:t>
      </w:r>
      <w:r>
        <w:rPr>
          <w:rFonts w:hint="eastAsia"/>
          <w:kern w:val="0"/>
          <w:szCs w:val="20"/>
        </w:rPr>
        <w:t>，</w:t>
      </w:r>
      <w:r>
        <w:rPr>
          <w:kern w:val="0"/>
          <w:szCs w:val="20"/>
        </w:rPr>
        <w:t>3.20]</w:t>
      </w:r>
    </w:p>
    <w:p w14:paraId="096BD362">
      <w:pPr>
        <w:spacing w:line="360" w:lineRule="auto"/>
        <w:rPr>
          <w:rFonts w:eastAsia="黑体"/>
        </w:rPr>
      </w:pPr>
      <w:r>
        <w:rPr>
          <w:rFonts w:eastAsia="黑体"/>
        </w:rPr>
        <w:t xml:space="preserve">3.8 </w:t>
      </w:r>
    </w:p>
    <w:p w14:paraId="1BB1776D">
      <w:pPr>
        <w:spacing w:line="360" w:lineRule="auto"/>
        <w:ind w:firstLine="420" w:firstLineChars="200"/>
        <w:rPr>
          <w:rFonts w:eastAsia="黑体"/>
        </w:rPr>
      </w:pPr>
      <w:r>
        <w:rPr>
          <w:rFonts w:eastAsia="黑体"/>
        </w:rPr>
        <w:t xml:space="preserve">系统边界 system boundary </w:t>
      </w:r>
    </w:p>
    <w:p w14:paraId="023F4F04">
      <w:pPr>
        <w:spacing w:line="360" w:lineRule="auto"/>
        <w:ind w:right="10" w:firstLine="419"/>
        <w:rPr>
          <w:kern w:val="0"/>
          <w:szCs w:val="20"/>
        </w:rPr>
      </w:pPr>
      <w:r>
        <w:rPr>
          <w:kern w:val="0"/>
          <w:szCs w:val="20"/>
        </w:rPr>
        <w:t xml:space="preserve">通过一组准则确定哪些单元过程属于产品系统的一部分。 </w:t>
      </w:r>
    </w:p>
    <w:p w14:paraId="51C70BB1">
      <w:pPr>
        <w:spacing w:line="360" w:lineRule="auto"/>
        <w:ind w:right="10" w:firstLine="419"/>
        <w:rPr>
          <w:kern w:val="0"/>
          <w:szCs w:val="20"/>
        </w:rPr>
      </w:pPr>
      <w:r>
        <w:rPr>
          <w:kern w:val="0"/>
          <w:szCs w:val="20"/>
        </w:rPr>
        <w:t>[来源</w:t>
      </w:r>
      <w:r>
        <w:rPr>
          <w:rFonts w:hint="eastAsia"/>
          <w:kern w:val="0"/>
          <w:szCs w:val="20"/>
        </w:rPr>
        <w:t>：</w:t>
      </w:r>
      <w:r>
        <w:rPr>
          <w:kern w:val="0"/>
          <w:szCs w:val="20"/>
        </w:rPr>
        <w:t>GB/T24067—2024</w:t>
      </w:r>
      <w:r>
        <w:rPr>
          <w:rFonts w:hint="eastAsia"/>
          <w:kern w:val="0"/>
          <w:szCs w:val="20"/>
        </w:rPr>
        <w:t>，</w:t>
      </w:r>
      <w:r>
        <w:rPr>
          <w:kern w:val="0"/>
          <w:szCs w:val="20"/>
        </w:rPr>
        <w:t xml:space="preserve">3.3.4] </w:t>
      </w:r>
    </w:p>
    <w:p w14:paraId="320F8A35">
      <w:pPr>
        <w:spacing w:line="360" w:lineRule="auto"/>
        <w:rPr>
          <w:rFonts w:eastAsia="黑体"/>
        </w:rPr>
      </w:pPr>
      <w:r>
        <w:rPr>
          <w:rFonts w:eastAsia="黑体"/>
        </w:rPr>
        <w:t>3.9</w:t>
      </w:r>
    </w:p>
    <w:p w14:paraId="1935CED3">
      <w:pPr>
        <w:spacing w:line="360" w:lineRule="auto"/>
        <w:ind w:firstLine="420" w:firstLineChars="200"/>
        <w:rPr>
          <w:rFonts w:eastAsia="黑体"/>
        </w:rPr>
      </w:pPr>
      <w:r>
        <w:rPr>
          <w:rFonts w:eastAsia="黑体"/>
        </w:rPr>
        <w:t xml:space="preserve">生命周期 life cycle </w:t>
      </w:r>
    </w:p>
    <w:p w14:paraId="404C37A3">
      <w:pPr>
        <w:spacing w:line="360" w:lineRule="auto"/>
        <w:ind w:right="10" w:firstLine="420" w:firstLineChars="200"/>
        <w:rPr>
          <w:kern w:val="0"/>
          <w:szCs w:val="20"/>
        </w:rPr>
      </w:pPr>
      <w:r>
        <w:rPr>
          <w:kern w:val="0"/>
          <w:szCs w:val="20"/>
        </w:rPr>
        <w:t>产品相关的连续且相互连接的阶段</w:t>
      </w:r>
      <w:r>
        <w:rPr>
          <w:rFonts w:hint="eastAsia"/>
          <w:kern w:val="0"/>
          <w:szCs w:val="20"/>
        </w:rPr>
        <w:t>，</w:t>
      </w:r>
      <w:r>
        <w:rPr>
          <w:kern w:val="0"/>
          <w:szCs w:val="20"/>
        </w:rPr>
        <w:t xml:space="preserve">包括原材料获取或从自然资源中生成原材料至生命末期处理。 </w:t>
      </w:r>
    </w:p>
    <w:p w14:paraId="46FF50E4">
      <w:pPr>
        <w:spacing w:line="360" w:lineRule="auto"/>
        <w:ind w:left="420" w:leftChars="200" w:right="10"/>
        <w:rPr>
          <w:kern w:val="0"/>
          <w:sz w:val="18"/>
          <w:szCs w:val="18"/>
        </w:rPr>
      </w:pPr>
      <w:r>
        <w:rPr>
          <w:rFonts w:hint="eastAsia"/>
          <w:kern w:val="0"/>
          <w:sz w:val="18"/>
          <w:szCs w:val="18"/>
        </w:rPr>
        <w:t>注：与产品相关的生命周期阶段包括原材料获取、生产、分销、使用和生命末期处理。</w:t>
      </w:r>
      <w:r>
        <w:rPr>
          <w:kern w:val="0"/>
          <w:sz w:val="18"/>
          <w:szCs w:val="18"/>
        </w:rPr>
        <w:t xml:space="preserve"> </w:t>
      </w:r>
    </w:p>
    <w:p w14:paraId="4BCF0B27">
      <w:pPr>
        <w:spacing w:line="360" w:lineRule="auto"/>
        <w:ind w:right="10" w:firstLine="419"/>
        <w:rPr>
          <w:kern w:val="0"/>
          <w:szCs w:val="20"/>
        </w:rPr>
      </w:pPr>
      <w:r>
        <w:rPr>
          <w:kern w:val="0"/>
          <w:szCs w:val="20"/>
        </w:rPr>
        <w:t>[来源</w:t>
      </w:r>
      <w:r>
        <w:rPr>
          <w:rFonts w:hint="eastAsia"/>
          <w:kern w:val="0"/>
          <w:szCs w:val="20"/>
        </w:rPr>
        <w:t>：</w:t>
      </w:r>
      <w:r>
        <w:rPr>
          <w:kern w:val="0"/>
          <w:szCs w:val="20"/>
        </w:rPr>
        <w:t>GB/T24067—2024</w:t>
      </w:r>
      <w:r>
        <w:rPr>
          <w:rFonts w:hint="eastAsia"/>
          <w:kern w:val="0"/>
          <w:szCs w:val="20"/>
        </w:rPr>
        <w:t>，</w:t>
      </w:r>
      <w:r>
        <w:rPr>
          <w:kern w:val="0"/>
          <w:szCs w:val="20"/>
        </w:rPr>
        <w:t>3.4.2]</w:t>
      </w:r>
    </w:p>
    <w:p w14:paraId="6EFF14E2">
      <w:pPr>
        <w:spacing w:line="360" w:lineRule="auto"/>
        <w:rPr>
          <w:rFonts w:eastAsia="黑体"/>
        </w:rPr>
      </w:pPr>
      <w:r>
        <w:rPr>
          <w:rFonts w:eastAsia="黑体"/>
        </w:rPr>
        <w:t>3.10</w:t>
      </w:r>
    </w:p>
    <w:p w14:paraId="4AD1138B">
      <w:pPr>
        <w:spacing w:line="360" w:lineRule="auto"/>
        <w:ind w:firstLine="420" w:firstLineChars="200"/>
        <w:rPr>
          <w:rFonts w:eastAsia="黑体"/>
        </w:rPr>
      </w:pPr>
      <w:r>
        <w:rPr>
          <w:rFonts w:eastAsia="黑体"/>
        </w:rPr>
        <w:t>初级数据  primary data</w:t>
      </w:r>
    </w:p>
    <w:p w14:paraId="5E283F40">
      <w:pPr>
        <w:spacing w:line="360" w:lineRule="auto"/>
        <w:ind w:right="10" w:firstLine="419"/>
      </w:pPr>
      <w:r>
        <w:t>通过直接测量或基于直接测量的计算得到的过程或活动的量化值。</w:t>
      </w:r>
    </w:p>
    <w:p w14:paraId="33E44B44">
      <w:pPr>
        <w:spacing w:line="360" w:lineRule="auto"/>
        <w:ind w:firstLine="420" w:firstLineChars="200"/>
        <w:rPr>
          <w:kern w:val="0"/>
          <w:szCs w:val="20"/>
        </w:rPr>
      </w:pPr>
      <w:r>
        <w:rPr>
          <w:kern w:val="0"/>
          <w:szCs w:val="20"/>
        </w:rPr>
        <w:t>[来源</w:t>
      </w:r>
      <w:r>
        <w:rPr>
          <w:rFonts w:hint="eastAsia"/>
          <w:kern w:val="0"/>
          <w:szCs w:val="20"/>
        </w:rPr>
        <w:t>：</w:t>
      </w:r>
      <w:r>
        <w:rPr>
          <w:kern w:val="0"/>
          <w:szCs w:val="20"/>
        </w:rPr>
        <w:t>GB/T24067—2024，3.6.1]</w:t>
      </w:r>
    </w:p>
    <w:p w14:paraId="0CBC5B40">
      <w:pPr>
        <w:spacing w:line="360" w:lineRule="auto"/>
        <w:rPr>
          <w:rFonts w:eastAsia="黑体"/>
        </w:rPr>
      </w:pPr>
      <w:r>
        <w:rPr>
          <w:rFonts w:eastAsia="黑体"/>
        </w:rPr>
        <w:t>3.11</w:t>
      </w:r>
    </w:p>
    <w:p w14:paraId="31056F3B">
      <w:pPr>
        <w:spacing w:line="360" w:lineRule="auto"/>
        <w:ind w:firstLine="420" w:firstLineChars="200"/>
        <w:rPr>
          <w:rFonts w:eastAsia="黑体"/>
        </w:rPr>
      </w:pPr>
      <w:r>
        <w:rPr>
          <w:rFonts w:eastAsia="黑体"/>
        </w:rPr>
        <w:t>次级数据  secondary data</w:t>
      </w:r>
    </w:p>
    <w:p w14:paraId="38890120">
      <w:pPr>
        <w:spacing w:line="360" w:lineRule="auto"/>
      </w:pPr>
      <w:r>
        <w:rPr>
          <w:b/>
          <w:bCs/>
        </w:rPr>
        <w:t>   </w:t>
      </w:r>
      <w:r>
        <w:t> 不符合初级数据要求的数据。</w:t>
      </w:r>
    </w:p>
    <w:p w14:paraId="7C58AB88">
      <w:pPr>
        <w:spacing w:line="360" w:lineRule="auto"/>
        <w:ind w:left="820" w:leftChars="200" w:hanging="400" w:hangingChars="200"/>
        <w:rPr>
          <w:sz w:val="20"/>
          <w:szCs w:val="22"/>
        </w:rPr>
      </w:pPr>
      <w:r>
        <w:rPr>
          <w:sz w:val="20"/>
          <w:szCs w:val="22"/>
        </w:rPr>
        <w:t>注1</w:t>
      </w:r>
      <w:r>
        <w:rPr>
          <w:rFonts w:hint="eastAsia"/>
          <w:sz w:val="20"/>
          <w:szCs w:val="22"/>
        </w:rPr>
        <w:t>：</w:t>
      </w:r>
      <w:r>
        <w:rPr>
          <w:sz w:val="20"/>
          <w:szCs w:val="22"/>
        </w:rPr>
        <w:t xml:space="preserve">次级数据是经权威机构验证且具有可信度的数据，可来源于数据库、公开文献、国家排放因子、计算估算数据或其他具有代表性的数据，推荐使用本土化数据库。 </w:t>
      </w:r>
    </w:p>
    <w:p w14:paraId="2100F26B">
      <w:pPr>
        <w:spacing w:line="360" w:lineRule="auto"/>
        <w:ind w:firstLine="400" w:firstLineChars="200"/>
        <w:rPr>
          <w:sz w:val="20"/>
          <w:szCs w:val="22"/>
        </w:rPr>
      </w:pPr>
      <w:r>
        <w:rPr>
          <w:sz w:val="20"/>
          <w:szCs w:val="22"/>
        </w:rPr>
        <w:t>注2</w:t>
      </w:r>
      <w:r>
        <w:rPr>
          <w:rFonts w:hint="eastAsia"/>
          <w:sz w:val="20"/>
          <w:szCs w:val="22"/>
        </w:rPr>
        <w:t>：</w:t>
      </w:r>
      <w:r>
        <w:rPr>
          <w:sz w:val="20"/>
          <w:szCs w:val="22"/>
        </w:rPr>
        <w:t>次级数据可包括从代替过程或估计获得的数据。</w:t>
      </w:r>
    </w:p>
    <w:p w14:paraId="26ED0C56">
      <w:pPr>
        <w:spacing w:line="360" w:lineRule="auto"/>
        <w:ind w:firstLine="420" w:firstLineChars="200"/>
        <w:rPr>
          <w:kern w:val="0"/>
          <w:szCs w:val="20"/>
        </w:rPr>
      </w:pPr>
      <w:r>
        <w:rPr>
          <w:kern w:val="0"/>
          <w:szCs w:val="20"/>
        </w:rPr>
        <w:t xml:space="preserve"> [来源</w:t>
      </w:r>
      <w:r>
        <w:rPr>
          <w:rFonts w:hint="eastAsia"/>
          <w:kern w:val="0"/>
          <w:szCs w:val="20"/>
        </w:rPr>
        <w:t>：</w:t>
      </w:r>
      <w:r>
        <w:rPr>
          <w:kern w:val="0"/>
          <w:szCs w:val="20"/>
        </w:rPr>
        <w:t>GB/T24067—2024，3.6.3]</w:t>
      </w:r>
    </w:p>
    <w:p w14:paraId="60EBA637">
      <w:pPr>
        <w:spacing w:line="360" w:lineRule="auto"/>
        <w:rPr>
          <w:rFonts w:eastAsia="黑体"/>
        </w:rPr>
      </w:pPr>
      <w:bookmarkStart w:id="20" w:name="OLE_LINK11"/>
      <w:r>
        <w:rPr>
          <w:rFonts w:eastAsia="黑体"/>
        </w:rPr>
        <w:t>3.12</w:t>
      </w:r>
    </w:p>
    <w:p w14:paraId="5B5C6BD5">
      <w:pPr>
        <w:spacing w:line="360" w:lineRule="auto"/>
        <w:ind w:firstLine="420" w:firstLineChars="200"/>
        <w:rPr>
          <w:rFonts w:eastAsia="黑体"/>
        </w:rPr>
      </w:pPr>
      <w:r>
        <w:rPr>
          <w:rFonts w:eastAsia="黑体"/>
        </w:rPr>
        <w:t>温室气体排放因子  greenhouse gas emission factor</w:t>
      </w:r>
    </w:p>
    <w:p w14:paraId="4B547E05">
      <w:pPr>
        <w:spacing w:line="360" w:lineRule="auto"/>
        <w:ind w:firstLine="420" w:firstLineChars="200"/>
        <w:rPr>
          <w:rFonts w:eastAsia="黑体"/>
        </w:rPr>
      </w:pPr>
      <w:r>
        <w:rPr>
          <w:rFonts w:eastAsia="黑体"/>
        </w:rPr>
        <w:t>GHG emission factor</w:t>
      </w:r>
    </w:p>
    <w:p w14:paraId="03737131">
      <w:pPr>
        <w:spacing w:line="360" w:lineRule="auto"/>
      </w:pPr>
      <w:r>
        <w:rPr>
          <w:b/>
          <w:bCs/>
        </w:rPr>
        <w:t>   </w:t>
      </w:r>
      <w:r>
        <w:t> 活动数据与温室气体排放相关的系数。</w:t>
      </w:r>
    </w:p>
    <w:p w14:paraId="0AEFFE4C">
      <w:pPr>
        <w:spacing w:line="360" w:lineRule="auto"/>
        <w:ind w:firstLine="420" w:firstLineChars="200"/>
      </w:pPr>
      <w:r>
        <w:rPr>
          <w:kern w:val="0"/>
          <w:szCs w:val="20"/>
        </w:rPr>
        <w:t>[来源</w:t>
      </w:r>
      <w:r>
        <w:rPr>
          <w:rFonts w:hint="eastAsia"/>
          <w:kern w:val="0"/>
          <w:szCs w:val="20"/>
        </w:rPr>
        <w:t>：</w:t>
      </w:r>
      <w:r>
        <w:rPr>
          <w:kern w:val="0"/>
          <w:szCs w:val="20"/>
        </w:rPr>
        <w:t>GB/T24067—2024，3.2.7]</w:t>
      </w:r>
    </w:p>
    <w:bookmarkEnd w:id="20"/>
    <w:p w14:paraId="7ECA2370">
      <w:pPr>
        <w:pStyle w:val="2"/>
        <w:keepNext w:val="0"/>
        <w:keepLines w:val="0"/>
        <w:spacing w:before="312" w:beforeLines="100" w:after="312" w:afterLines="100" w:line="360" w:lineRule="auto"/>
        <w:rPr>
          <w:rFonts w:eastAsia="黑体"/>
          <w:bCs w:val="0"/>
          <w:kern w:val="2"/>
          <w:sz w:val="21"/>
          <w:szCs w:val="21"/>
        </w:rPr>
      </w:pPr>
      <w:bookmarkStart w:id="21" w:name="_Toc211864624"/>
      <w:r>
        <w:rPr>
          <w:rFonts w:eastAsia="黑体"/>
          <w:bCs w:val="0"/>
          <w:kern w:val="2"/>
          <w:sz w:val="21"/>
          <w:szCs w:val="21"/>
        </w:rPr>
        <w:t>4 量化目的</w:t>
      </w:r>
      <w:bookmarkEnd w:id="21"/>
    </w:p>
    <w:p w14:paraId="2BBE7A32">
      <w:pPr>
        <w:spacing w:line="360" w:lineRule="auto"/>
        <w:ind w:firstLine="420"/>
      </w:pPr>
      <w:r>
        <w:t>通过量化暖通空调及净化设备在生命周期对全球变暖的潜在贡献[以二氧化碳当量（CO</w:t>
      </w:r>
      <w:r>
        <w:rPr>
          <w:vertAlign w:val="subscript"/>
        </w:rPr>
        <w:t>2</w:t>
      </w:r>
      <w:r>
        <w:t>e）表示]，披露暖通空调及净化设备碳足迹信息；明确生命周期相关阶段对暖通空调及净化设备碳足迹的影响程度；为暖通空调及净化设备碳足迹标识以及研发和选用提供依据。</w:t>
      </w:r>
    </w:p>
    <w:p w14:paraId="7509BB11">
      <w:pPr>
        <w:pStyle w:val="2"/>
        <w:keepNext w:val="0"/>
        <w:keepLines w:val="0"/>
        <w:spacing w:before="312" w:beforeLines="100" w:after="312" w:afterLines="100" w:line="240" w:lineRule="auto"/>
        <w:rPr>
          <w:rFonts w:eastAsia="黑体"/>
          <w:bCs w:val="0"/>
          <w:kern w:val="2"/>
          <w:sz w:val="21"/>
          <w:szCs w:val="21"/>
        </w:rPr>
      </w:pPr>
      <w:bookmarkStart w:id="22" w:name="_Toc211864625"/>
      <w:r>
        <w:rPr>
          <w:rFonts w:eastAsia="黑体"/>
          <w:bCs w:val="0"/>
          <w:kern w:val="2"/>
          <w:sz w:val="21"/>
          <w:szCs w:val="21"/>
        </w:rPr>
        <w:t>5 量化范围</w:t>
      </w:r>
      <w:bookmarkEnd w:id="22"/>
    </w:p>
    <w:p w14:paraId="115A7589">
      <w:pPr>
        <w:spacing w:before="156" w:beforeLines="50" w:after="156" w:afterLines="50" w:line="360" w:lineRule="auto"/>
        <w:rPr>
          <w:rFonts w:eastAsia="黑体"/>
        </w:rPr>
      </w:pPr>
      <w:r>
        <w:rPr>
          <w:rFonts w:eastAsia="黑体"/>
        </w:rPr>
        <w:t>5.1 产品描述</w:t>
      </w:r>
    </w:p>
    <w:p w14:paraId="565BD412">
      <w:pPr>
        <w:pStyle w:val="28"/>
        <w:spacing w:line="360" w:lineRule="auto"/>
        <w:rPr>
          <w:rFonts w:ascii="Times New Roman"/>
          <w:szCs w:val="21"/>
        </w:rPr>
      </w:pPr>
      <w:r>
        <w:rPr>
          <w:rFonts w:ascii="Times New Roman"/>
        </w:rPr>
        <w:t>应清晰描述</w:t>
      </w:r>
      <w:bookmarkStart w:id="23" w:name="_Hlk195012879"/>
      <w:r>
        <w:rPr>
          <w:rFonts w:ascii="Times New Roman"/>
        </w:rPr>
        <w:t>暖通空调及净化设备的功能和技术参数</w:t>
      </w:r>
      <w:bookmarkEnd w:id="23"/>
      <w:r>
        <w:rPr>
          <w:rFonts w:ascii="Times New Roman"/>
        </w:rPr>
        <w:t>，描述内容包括但不限于：</w:t>
      </w:r>
    </w:p>
    <w:p w14:paraId="1BE3A56F">
      <w:pPr>
        <w:numPr>
          <w:ilvl w:val="0"/>
          <w:numId w:val="20"/>
        </w:numPr>
        <w:spacing w:line="360" w:lineRule="auto"/>
      </w:pPr>
      <w:r>
        <w:t>产品名称；</w:t>
      </w:r>
    </w:p>
    <w:p w14:paraId="074E6693">
      <w:pPr>
        <w:numPr>
          <w:ilvl w:val="0"/>
          <w:numId w:val="20"/>
        </w:numPr>
        <w:spacing w:line="360" w:lineRule="auto"/>
      </w:pPr>
      <w:r>
        <w:t>规格型号；</w:t>
      </w:r>
    </w:p>
    <w:p w14:paraId="65C1C14F">
      <w:pPr>
        <w:numPr>
          <w:ilvl w:val="0"/>
          <w:numId w:val="20"/>
        </w:numPr>
        <w:spacing w:line="360" w:lineRule="auto"/>
      </w:pPr>
      <w:r>
        <w:t>出厂编号；</w:t>
      </w:r>
    </w:p>
    <w:p w14:paraId="5521DE79">
      <w:pPr>
        <w:numPr>
          <w:ilvl w:val="0"/>
          <w:numId w:val="20"/>
        </w:numPr>
        <w:spacing w:line="360" w:lineRule="auto"/>
      </w:pPr>
      <w:r>
        <w:t>生产日期；</w:t>
      </w:r>
    </w:p>
    <w:p w14:paraId="0F609B95">
      <w:pPr>
        <w:numPr>
          <w:ilvl w:val="0"/>
          <w:numId w:val="20"/>
        </w:numPr>
        <w:spacing w:line="360" w:lineRule="auto"/>
      </w:pPr>
      <w:r>
        <w:t>生产厂家；</w:t>
      </w:r>
    </w:p>
    <w:p w14:paraId="083D4B85">
      <w:pPr>
        <w:numPr>
          <w:ilvl w:val="0"/>
          <w:numId w:val="20"/>
        </w:numPr>
        <w:spacing w:line="360" w:lineRule="auto"/>
      </w:pPr>
      <w:r>
        <w:t>依据的产品标准；</w:t>
      </w:r>
    </w:p>
    <w:p w14:paraId="3286DD1F">
      <w:pPr>
        <w:numPr>
          <w:ilvl w:val="0"/>
          <w:numId w:val="20"/>
        </w:numPr>
        <w:spacing w:line="360" w:lineRule="auto"/>
      </w:pPr>
      <w:r>
        <w:t>技术性能参数。</w:t>
      </w:r>
    </w:p>
    <w:p w14:paraId="7ADDC3C0">
      <w:pPr>
        <w:spacing w:before="156" w:beforeLines="50" w:after="156" w:afterLines="50" w:line="360" w:lineRule="auto"/>
        <w:rPr>
          <w:rFonts w:eastAsia="黑体"/>
        </w:rPr>
      </w:pPr>
      <w:r>
        <w:rPr>
          <w:rFonts w:eastAsia="黑体"/>
        </w:rPr>
        <w:t>5.2 功能单位</w:t>
      </w:r>
    </w:p>
    <w:p w14:paraId="78CB61A7">
      <w:pPr>
        <w:spacing w:line="360" w:lineRule="auto"/>
      </w:pPr>
      <w:r>
        <w:t>5.2.1 功能单位的选取应便于同类产品的比较，并兼顾声明的直观性。</w:t>
      </w:r>
    </w:p>
    <w:p w14:paraId="258B0D1B">
      <w:pPr>
        <w:spacing w:line="360" w:lineRule="auto"/>
      </w:pPr>
      <w:r>
        <w:t xml:space="preserve">5.2.2一个产品可以有多个功能单位，在系统边界内的不同的阶段可采用不同的功能单位。当无明确要求时，暖通空调及净化设备的功能单位选取可按下列规定： </w:t>
      </w:r>
    </w:p>
    <w:p w14:paraId="28ABA69F">
      <w:pPr>
        <w:spacing w:line="360" w:lineRule="auto"/>
        <w:ind w:firstLine="420" w:firstLineChars="200"/>
      </w:pPr>
      <w:r>
        <w:t>a）供暖设备采用单位散热量（kW）为功能单位；</w:t>
      </w:r>
    </w:p>
    <w:p w14:paraId="5C23DDA1">
      <w:pPr>
        <w:spacing w:line="360" w:lineRule="auto"/>
        <w:ind w:firstLine="420" w:firstLineChars="200"/>
      </w:pPr>
      <w:r>
        <w:t>b）通风设备可采用单位风量（m</w:t>
      </w:r>
      <w:r>
        <w:rPr>
          <w:vertAlign w:val="superscript"/>
        </w:rPr>
        <w:t>3</w:t>
      </w:r>
      <w:r>
        <w:t>/h）为功能单位；</w:t>
      </w:r>
    </w:p>
    <w:p w14:paraId="66FA4858">
      <w:pPr>
        <w:spacing w:line="360" w:lineRule="auto"/>
        <w:ind w:firstLine="420" w:firstLineChars="200"/>
      </w:pPr>
      <w:r>
        <w:t>c）</w:t>
      </w:r>
      <w:bookmarkStart w:id="24" w:name="_Hlk195012808"/>
      <w:r>
        <w:t>空调设备可采用单位供冷（热）量（kW）为功能单位</w:t>
      </w:r>
      <w:bookmarkEnd w:id="24"/>
      <w:r>
        <w:t>；</w:t>
      </w:r>
    </w:p>
    <w:p w14:paraId="63E2E925">
      <w:pPr>
        <w:spacing w:line="360" w:lineRule="auto"/>
        <w:ind w:firstLine="420" w:firstLineChars="200"/>
      </w:pPr>
      <w:bookmarkStart w:id="25" w:name="_Hlk195012839"/>
      <w:r>
        <w:t>d）净化设备可采用单位洁净空气量（m</w:t>
      </w:r>
      <w:r>
        <w:rPr>
          <w:vertAlign w:val="superscript"/>
        </w:rPr>
        <w:t>3</w:t>
      </w:r>
      <w:r>
        <w:t>/h）为功能单位</w:t>
      </w:r>
      <w:bookmarkEnd w:id="25"/>
      <w:r>
        <w:t>；</w:t>
      </w:r>
    </w:p>
    <w:p w14:paraId="1001BAC6">
      <w:pPr>
        <w:spacing w:line="360" w:lineRule="auto"/>
        <w:ind w:firstLine="420" w:firstLineChars="200"/>
      </w:pPr>
      <w:r>
        <w:t>e）采用1台（套、件）为功能单位。</w:t>
      </w:r>
    </w:p>
    <w:p w14:paraId="30222481">
      <w:pPr>
        <w:spacing w:before="156" w:beforeLines="50" w:after="156" w:afterLines="50" w:line="360" w:lineRule="auto"/>
        <w:rPr>
          <w:rFonts w:eastAsia="黑体"/>
        </w:rPr>
      </w:pPr>
      <w:r>
        <w:rPr>
          <w:rFonts w:eastAsia="黑体"/>
        </w:rPr>
        <w:t>5.3 系统边界</w:t>
      </w:r>
    </w:p>
    <w:p w14:paraId="28DF29D4">
      <w:pPr>
        <w:spacing w:line="360" w:lineRule="auto"/>
        <w:rPr>
          <w:b/>
          <w:bCs/>
        </w:rPr>
      </w:pPr>
      <w:r>
        <w:rPr>
          <w:b/>
          <w:bCs/>
        </w:rPr>
        <w:t>5.3.1 边界设定</w:t>
      </w:r>
    </w:p>
    <w:p w14:paraId="40FE52DF">
      <w:pPr>
        <w:spacing w:line="324" w:lineRule="auto"/>
        <w:ind w:firstLine="420" w:firstLineChars="200"/>
      </w:pPr>
      <w:bookmarkStart w:id="26" w:name="_Hlk195012957"/>
      <w:r>
        <w:t>暖通空调及净化设备可分为终端消费产品和非终端消费产品两类（见附录A）。终端消费产品碳足迹量化的系统边界应为“从摇篮到坟墓”，包括原材料获取阶段、生产阶段、分销阶段、使用阶段和生命末期处理阶段五个过程的全生命周期温室气体量化。非终端消费产品碳足迹量化的系统边界应为“从摇篮到大门”，包括原材料获取阶段和生产阶段两个过程部分生命周期的温室气体量化。量化系统边界</w:t>
      </w:r>
      <w:r>
        <w:rPr>
          <w:rFonts w:hint="eastAsia"/>
        </w:rPr>
        <w:t>示意图</w:t>
      </w:r>
      <w:r>
        <w:t>见图1。</w:t>
      </w:r>
    </w:p>
    <w:p w14:paraId="492AE164">
      <w:pPr>
        <w:spacing w:line="324" w:lineRule="auto"/>
        <w:jc w:val="center"/>
      </w:pPr>
      <w:r>
        <w:drawing>
          <wp:inline distT="0" distB="0" distL="0" distR="0">
            <wp:extent cx="5939790" cy="2697480"/>
            <wp:effectExtent l="0" t="0" r="3810" b="7620"/>
            <wp:docPr id="3138394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39402" name="图片 1"/>
                    <pic:cNvPicPr>
                      <a:picLocks noChangeAspect="1"/>
                    </pic:cNvPicPr>
                  </pic:nvPicPr>
                  <pic:blipFill>
                    <a:blip r:embed="rId9"/>
                    <a:stretch>
                      <a:fillRect/>
                    </a:stretch>
                  </pic:blipFill>
                  <pic:spPr>
                    <a:xfrm>
                      <a:off x="0" y="0"/>
                      <a:ext cx="5939790" cy="2697480"/>
                    </a:xfrm>
                    <a:prstGeom prst="rect">
                      <a:avLst/>
                    </a:prstGeom>
                  </pic:spPr>
                </pic:pic>
              </a:graphicData>
            </a:graphic>
          </wp:inline>
        </w:drawing>
      </w:r>
    </w:p>
    <w:p w14:paraId="382A6D52">
      <w:pPr>
        <w:spacing w:line="360" w:lineRule="auto"/>
        <w:ind w:firstLine="420" w:firstLineChars="200"/>
        <w:jc w:val="center"/>
      </w:pPr>
      <w:r>
        <w:t>图1暖通空调及净化设备系统边界示意图</w:t>
      </w:r>
    </w:p>
    <w:bookmarkEnd w:id="26"/>
    <w:p w14:paraId="1D9D87ED">
      <w:pPr>
        <w:spacing w:line="360" w:lineRule="auto"/>
        <w:rPr>
          <w:b/>
          <w:bCs/>
        </w:rPr>
      </w:pPr>
      <w:r>
        <w:rPr>
          <w:b/>
          <w:bCs/>
        </w:rPr>
        <w:t>5.3.2 原材料获取阶段</w:t>
      </w:r>
    </w:p>
    <w:p w14:paraId="3F745634">
      <w:pPr>
        <w:spacing w:line="360" w:lineRule="auto"/>
        <w:ind w:firstLine="420" w:firstLineChars="200"/>
      </w:pPr>
      <w:r>
        <w:t>原材料获取阶段包括原材料的生产、加工，外购零部件的加工以及运输过程。</w:t>
      </w:r>
    </w:p>
    <w:p w14:paraId="6D1BF130">
      <w:pPr>
        <w:spacing w:line="360" w:lineRule="auto"/>
        <w:rPr>
          <w:b/>
          <w:bCs/>
        </w:rPr>
      </w:pPr>
      <w:r>
        <w:rPr>
          <w:b/>
          <w:bCs/>
        </w:rPr>
        <w:t>5.3.3 生产阶段</w:t>
      </w:r>
    </w:p>
    <w:p w14:paraId="25CA9484">
      <w:pPr>
        <w:spacing w:line="360" w:lineRule="auto"/>
        <w:ind w:firstLine="420" w:firstLineChars="200"/>
      </w:pPr>
      <w:r>
        <w:t>从原材料、零部件进入生产场所开始，到暖通空调及净化设备离开生产场所终止，包括但不限于以下过程：</w:t>
      </w:r>
    </w:p>
    <w:p w14:paraId="5CF47054">
      <w:pPr>
        <w:spacing w:line="360" w:lineRule="auto"/>
        <w:ind w:firstLine="420" w:firstLineChars="200"/>
      </w:pPr>
      <w:bookmarkStart w:id="27" w:name="_Hlk204069427"/>
      <w:r>
        <w:t>a）零部件的加工过程；</w:t>
      </w:r>
    </w:p>
    <w:p w14:paraId="38C11264">
      <w:pPr>
        <w:spacing w:line="360" w:lineRule="auto"/>
        <w:ind w:firstLine="420" w:firstLineChars="200"/>
      </w:pPr>
      <w:r>
        <w:t>b）整机组装过程；</w:t>
      </w:r>
    </w:p>
    <w:p w14:paraId="258EC103">
      <w:pPr>
        <w:spacing w:line="360" w:lineRule="auto"/>
        <w:ind w:firstLine="420" w:firstLineChars="200"/>
      </w:pPr>
      <w:r>
        <w:t>c）产品检验过程；</w:t>
      </w:r>
    </w:p>
    <w:p w14:paraId="0AB875AD">
      <w:pPr>
        <w:spacing w:line="360" w:lineRule="auto"/>
        <w:ind w:firstLine="420" w:firstLineChars="200"/>
      </w:pPr>
      <w:r>
        <w:t>d）产品包装过程；</w:t>
      </w:r>
    </w:p>
    <w:p w14:paraId="048F8037">
      <w:pPr>
        <w:spacing w:line="360" w:lineRule="auto"/>
        <w:ind w:firstLine="420" w:firstLineChars="200"/>
      </w:pPr>
      <w:r>
        <w:t>e）生产场所的环境控制设施运行。</w:t>
      </w:r>
    </w:p>
    <w:bookmarkEnd w:id="27"/>
    <w:p w14:paraId="61871841">
      <w:pPr>
        <w:spacing w:line="360" w:lineRule="auto"/>
        <w:rPr>
          <w:b/>
          <w:bCs/>
        </w:rPr>
      </w:pPr>
      <w:r>
        <w:rPr>
          <w:b/>
          <w:bCs/>
        </w:rPr>
        <w:t>5.3.4 分销阶段</w:t>
      </w:r>
    </w:p>
    <w:p w14:paraId="16BA6E7A">
      <w:pPr>
        <w:spacing w:line="360" w:lineRule="auto"/>
      </w:pPr>
      <w:r>
        <w:t xml:space="preserve">       分销阶段包括从生产场所到最终用户的运输及仓储过程。</w:t>
      </w:r>
    </w:p>
    <w:p w14:paraId="092CF146">
      <w:pPr>
        <w:spacing w:line="360" w:lineRule="auto"/>
        <w:rPr>
          <w:b/>
          <w:bCs/>
        </w:rPr>
      </w:pPr>
      <w:r>
        <w:rPr>
          <w:b/>
          <w:bCs/>
        </w:rPr>
        <w:t>5.3.5使用阶段</w:t>
      </w:r>
    </w:p>
    <w:p w14:paraId="0782D5AD">
      <w:pPr>
        <w:spacing w:line="360" w:lineRule="auto"/>
        <w:ind w:firstLine="420" w:firstLineChars="200"/>
      </w:pPr>
      <w:bookmarkStart w:id="28" w:name="OLE_LINK3"/>
      <w:r>
        <w:t>从暖通空调及净化设备到达用户开始，到暖通空调及净化设备寿命终止，</w:t>
      </w:r>
      <w:bookmarkEnd w:id="28"/>
      <w:r>
        <w:t>包括但不限于以下过程：</w:t>
      </w:r>
    </w:p>
    <w:p w14:paraId="1579B484">
      <w:pPr>
        <w:spacing w:line="360" w:lineRule="auto"/>
        <w:ind w:firstLine="420" w:firstLineChars="200"/>
      </w:pPr>
      <w:r>
        <w:t>a）产品的安装；</w:t>
      </w:r>
    </w:p>
    <w:p w14:paraId="5C3A47B5">
      <w:pPr>
        <w:spacing w:line="360" w:lineRule="auto"/>
        <w:ind w:firstLine="420" w:firstLineChars="200"/>
      </w:pPr>
      <w:r>
        <w:t>b）产品的运行使用；</w:t>
      </w:r>
    </w:p>
    <w:p w14:paraId="2157E0F2">
      <w:pPr>
        <w:spacing w:line="360" w:lineRule="auto"/>
        <w:ind w:firstLine="420" w:firstLineChars="200"/>
      </w:pPr>
      <w:r>
        <w:t>c）产品的维护保养；</w:t>
      </w:r>
    </w:p>
    <w:p w14:paraId="1C30D1B0">
      <w:pPr>
        <w:spacing w:line="360" w:lineRule="auto"/>
        <w:ind w:firstLine="420" w:firstLineChars="200"/>
        <w:rPr>
          <w:b/>
          <w:bCs/>
        </w:rPr>
      </w:pPr>
      <w:r>
        <w:t>d）产品零部件的更换。</w:t>
      </w:r>
    </w:p>
    <w:p w14:paraId="17E91CD0">
      <w:pPr>
        <w:spacing w:line="360" w:lineRule="auto"/>
        <w:rPr>
          <w:b/>
          <w:bCs/>
        </w:rPr>
      </w:pPr>
      <w:r>
        <w:rPr>
          <w:b/>
          <w:bCs/>
        </w:rPr>
        <w:t>5.3.6 生命末期阶段</w:t>
      </w:r>
    </w:p>
    <w:p w14:paraId="44F7C86E">
      <w:pPr>
        <w:spacing w:line="360" w:lineRule="auto"/>
        <w:ind w:firstLine="420" w:firstLineChars="200"/>
      </w:pPr>
      <w:r>
        <w:t>生命末期阶段包括但不限于以下过程：</w:t>
      </w:r>
    </w:p>
    <w:p w14:paraId="45540FE2">
      <w:pPr>
        <w:spacing w:line="360" w:lineRule="auto"/>
        <w:ind w:firstLine="420" w:firstLineChars="200"/>
      </w:pPr>
      <w:r>
        <w:t>a）生命末期暖通空调及净化设备的收集和运输；</w:t>
      </w:r>
    </w:p>
    <w:p w14:paraId="33D192D5">
      <w:pPr>
        <w:spacing w:line="360" w:lineRule="auto"/>
        <w:ind w:firstLine="420" w:firstLineChars="200"/>
      </w:pPr>
      <w:r>
        <w:t>b）回收和再利用预处理；</w:t>
      </w:r>
    </w:p>
    <w:p w14:paraId="667719C2">
      <w:pPr>
        <w:spacing w:line="360" w:lineRule="auto"/>
        <w:ind w:firstLine="420" w:firstLineChars="200"/>
      </w:pPr>
      <w:r>
        <w:t>c）生命末期组件的拆解；</w:t>
      </w:r>
    </w:p>
    <w:p w14:paraId="1F95F9CE">
      <w:pPr>
        <w:spacing w:line="360" w:lineRule="auto"/>
        <w:ind w:firstLine="420" w:firstLineChars="200"/>
      </w:pPr>
      <w:r>
        <w:t>d）破碎和分选；</w:t>
      </w:r>
    </w:p>
    <w:p w14:paraId="1ECDA9A0">
      <w:pPr>
        <w:spacing w:line="360" w:lineRule="auto"/>
        <w:ind w:firstLine="420" w:firstLineChars="200"/>
      </w:pPr>
      <w:r>
        <w:t>e）废弃物处置。</w:t>
      </w:r>
    </w:p>
    <w:p w14:paraId="4468E6A9">
      <w:pPr>
        <w:pStyle w:val="2"/>
        <w:keepNext w:val="0"/>
        <w:keepLines w:val="0"/>
        <w:spacing w:before="312" w:beforeLines="100" w:after="312" w:afterLines="100" w:line="240" w:lineRule="auto"/>
        <w:rPr>
          <w:rFonts w:eastAsia="黑体"/>
          <w:bCs w:val="0"/>
          <w:kern w:val="2"/>
          <w:sz w:val="21"/>
          <w:szCs w:val="21"/>
        </w:rPr>
      </w:pPr>
      <w:bookmarkStart w:id="29" w:name="_Toc211864626"/>
      <w:r>
        <w:rPr>
          <w:rFonts w:eastAsia="黑体"/>
          <w:bCs w:val="0"/>
          <w:kern w:val="2"/>
          <w:sz w:val="21"/>
          <w:szCs w:val="21"/>
        </w:rPr>
        <w:t>6 生命周期清单分析</w:t>
      </w:r>
      <w:bookmarkEnd w:id="29"/>
    </w:p>
    <w:p w14:paraId="45BCAC91">
      <w:pPr>
        <w:spacing w:before="156" w:beforeLines="50" w:after="156" w:afterLines="50" w:line="360" w:lineRule="auto"/>
        <w:rPr>
          <w:rFonts w:eastAsia="黑体"/>
        </w:rPr>
      </w:pPr>
      <w:bookmarkStart w:id="30" w:name="OLE_LINK7"/>
      <w:r>
        <w:rPr>
          <w:rFonts w:eastAsia="黑体"/>
        </w:rPr>
        <w:t>6.1数据收集</w:t>
      </w:r>
      <w:bookmarkEnd w:id="30"/>
    </w:p>
    <w:p w14:paraId="30E343EB">
      <w:pPr>
        <w:spacing w:line="360" w:lineRule="auto"/>
        <w:rPr>
          <w:b/>
          <w:bCs/>
          <w:kern w:val="0"/>
          <w:szCs w:val="20"/>
        </w:rPr>
      </w:pPr>
      <w:r>
        <w:rPr>
          <w:b/>
          <w:bCs/>
          <w:kern w:val="0"/>
          <w:szCs w:val="20"/>
        </w:rPr>
        <w:t>6.1.1数据收集内容</w:t>
      </w:r>
    </w:p>
    <w:p w14:paraId="19B151F6">
      <w:pPr>
        <w:spacing w:line="360" w:lineRule="auto"/>
        <w:rPr>
          <w:kern w:val="0"/>
          <w:szCs w:val="20"/>
        </w:rPr>
      </w:pPr>
      <w:r>
        <w:rPr>
          <w:kern w:val="0"/>
          <w:szCs w:val="20"/>
        </w:rPr>
        <w:t>6.1.1.1原材料获取阶段应收集的数据包括：</w:t>
      </w:r>
    </w:p>
    <w:p w14:paraId="42A1F7B3">
      <w:pPr>
        <w:spacing w:line="360" w:lineRule="auto"/>
        <w:rPr>
          <w:kern w:val="0"/>
          <w:szCs w:val="20"/>
        </w:rPr>
      </w:pPr>
      <w:r>
        <w:rPr>
          <w:kern w:val="0"/>
          <w:szCs w:val="20"/>
        </w:rPr>
        <w:t xml:space="preserve">           a）原材料的种类及其数量、重量或容量等；</w:t>
      </w:r>
    </w:p>
    <w:p w14:paraId="09076870">
      <w:pPr>
        <w:spacing w:line="360" w:lineRule="auto"/>
        <w:rPr>
          <w:kern w:val="0"/>
          <w:szCs w:val="20"/>
        </w:rPr>
      </w:pPr>
      <w:r>
        <w:rPr>
          <w:kern w:val="0"/>
          <w:szCs w:val="20"/>
        </w:rPr>
        <w:t xml:space="preserve">           b）运输原材料的数量、重量、运输距离和运输方式；</w:t>
      </w:r>
    </w:p>
    <w:p w14:paraId="173A0C06">
      <w:pPr>
        <w:spacing w:line="360" w:lineRule="auto"/>
        <w:rPr>
          <w:kern w:val="0"/>
          <w:szCs w:val="20"/>
        </w:rPr>
      </w:pPr>
      <w:r>
        <w:rPr>
          <w:kern w:val="0"/>
          <w:szCs w:val="20"/>
        </w:rPr>
        <w:t xml:space="preserve">           c）各类原材料及运输过程的温室气体排放因子。</w:t>
      </w:r>
    </w:p>
    <w:p w14:paraId="35D38E31">
      <w:pPr>
        <w:spacing w:line="360" w:lineRule="auto"/>
        <w:rPr>
          <w:kern w:val="0"/>
          <w:szCs w:val="20"/>
        </w:rPr>
      </w:pPr>
      <w:r>
        <w:rPr>
          <w:kern w:val="0"/>
          <w:szCs w:val="20"/>
        </w:rPr>
        <w:t>6.1.1.2生产阶段应收集的数据包括：</w:t>
      </w:r>
    </w:p>
    <w:p w14:paraId="5C47DDEF">
      <w:pPr>
        <w:spacing w:line="360" w:lineRule="auto"/>
        <w:ind w:firstLine="630" w:firstLineChars="300"/>
        <w:rPr>
          <w:kern w:val="0"/>
          <w:szCs w:val="20"/>
        </w:rPr>
      </w:pPr>
      <w:r>
        <w:rPr>
          <w:kern w:val="0"/>
          <w:szCs w:val="20"/>
        </w:rPr>
        <w:t>a） 生产周期的产品生产数量；</w:t>
      </w:r>
    </w:p>
    <w:p w14:paraId="55BD2FBB">
      <w:pPr>
        <w:spacing w:line="360" w:lineRule="auto"/>
        <w:ind w:firstLine="630" w:firstLineChars="300"/>
        <w:rPr>
          <w:kern w:val="0"/>
          <w:szCs w:val="20"/>
        </w:rPr>
      </w:pPr>
      <w:r>
        <w:rPr>
          <w:kern w:val="0"/>
          <w:szCs w:val="20"/>
        </w:rPr>
        <w:t>b）零部件加工过程的电力等能源消耗量；</w:t>
      </w:r>
    </w:p>
    <w:p w14:paraId="5CA6FEDE">
      <w:pPr>
        <w:spacing w:line="360" w:lineRule="auto"/>
        <w:ind w:firstLine="630" w:firstLineChars="300"/>
        <w:rPr>
          <w:kern w:val="0"/>
          <w:szCs w:val="20"/>
        </w:rPr>
      </w:pPr>
      <w:r>
        <w:rPr>
          <w:kern w:val="0"/>
          <w:szCs w:val="20"/>
        </w:rPr>
        <w:t>c） 整机组装过程的电力等能源消耗量；</w:t>
      </w:r>
    </w:p>
    <w:p w14:paraId="66715CA7">
      <w:pPr>
        <w:spacing w:line="360" w:lineRule="auto"/>
        <w:ind w:firstLine="630" w:firstLineChars="300"/>
        <w:rPr>
          <w:kern w:val="0"/>
          <w:szCs w:val="20"/>
        </w:rPr>
      </w:pPr>
      <w:r>
        <w:rPr>
          <w:kern w:val="0"/>
          <w:szCs w:val="20"/>
        </w:rPr>
        <w:t>d）产品检验过程的电力等能源消耗量；</w:t>
      </w:r>
    </w:p>
    <w:p w14:paraId="5A9C825E">
      <w:pPr>
        <w:spacing w:line="360" w:lineRule="auto"/>
        <w:ind w:firstLine="630" w:firstLineChars="300"/>
        <w:rPr>
          <w:kern w:val="0"/>
          <w:szCs w:val="20"/>
        </w:rPr>
      </w:pPr>
      <w:r>
        <w:rPr>
          <w:kern w:val="0"/>
          <w:szCs w:val="20"/>
        </w:rPr>
        <w:t>e） 包装过程消耗的电力等能源消耗量；</w:t>
      </w:r>
    </w:p>
    <w:p w14:paraId="7646EBCE">
      <w:pPr>
        <w:spacing w:line="360" w:lineRule="auto"/>
        <w:ind w:firstLine="630" w:firstLineChars="300"/>
        <w:rPr>
          <w:kern w:val="0"/>
          <w:szCs w:val="20"/>
        </w:rPr>
      </w:pPr>
      <w:r>
        <w:rPr>
          <w:kern w:val="0"/>
          <w:szCs w:val="20"/>
        </w:rPr>
        <w:t>f） 生产场所供暖空调、照明等环境控制设施的能源消耗量；</w:t>
      </w:r>
    </w:p>
    <w:p w14:paraId="59083A75">
      <w:pPr>
        <w:spacing w:line="360" w:lineRule="auto"/>
        <w:ind w:firstLine="630" w:firstLineChars="300"/>
        <w:rPr>
          <w:kern w:val="0"/>
          <w:szCs w:val="20"/>
        </w:rPr>
      </w:pPr>
      <w:r>
        <w:rPr>
          <w:kern w:val="0"/>
          <w:szCs w:val="20"/>
        </w:rPr>
        <w:t>g） 电力等能源的温室气体排放因子。</w:t>
      </w:r>
    </w:p>
    <w:p w14:paraId="74AE7AC3">
      <w:pPr>
        <w:widowControl/>
        <w:autoSpaceDE w:val="0"/>
        <w:autoSpaceDN w:val="0"/>
        <w:spacing w:line="360" w:lineRule="auto"/>
        <w:rPr>
          <w:kern w:val="0"/>
          <w:szCs w:val="20"/>
        </w:rPr>
      </w:pPr>
      <w:r>
        <w:rPr>
          <w:kern w:val="0"/>
          <w:szCs w:val="20"/>
        </w:rPr>
        <w:t>6.1.1.3 分销阶段应收集的数据包括：</w:t>
      </w:r>
    </w:p>
    <w:p w14:paraId="64A88738">
      <w:pPr>
        <w:widowControl/>
        <w:autoSpaceDE w:val="0"/>
        <w:autoSpaceDN w:val="0"/>
        <w:spacing w:line="360" w:lineRule="auto"/>
        <w:ind w:firstLine="630" w:firstLineChars="300"/>
        <w:rPr>
          <w:kern w:val="0"/>
          <w:szCs w:val="20"/>
        </w:rPr>
      </w:pPr>
      <w:r>
        <w:rPr>
          <w:kern w:val="0"/>
          <w:szCs w:val="20"/>
        </w:rPr>
        <w:t>a）运输的设备数量、重量；</w:t>
      </w:r>
    </w:p>
    <w:p w14:paraId="299E8F1B">
      <w:pPr>
        <w:widowControl/>
        <w:autoSpaceDE w:val="0"/>
        <w:autoSpaceDN w:val="0"/>
        <w:spacing w:line="360" w:lineRule="auto"/>
        <w:ind w:firstLine="630" w:firstLineChars="300"/>
        <w:rPr>
          <w:kern w:val="0"/>
          <w:szCs w:val="20"/>
        </w:rPr>
      </w:pPr>
      <w:r>
        <w:rPr>
          <w:kern w:val="0"/>
          <w:szCs w:val="20"/>
        </w:rPr>
        <w:t>b） 生产场所到最终用户的距离；</w:t>
      </w:r>
    </w:p>
    <w:p w14:paraId="30585D44">
      <w:pPr>
        <w:widowControl/>
        <w:autoSpaceDE w:val="0"/>
        <w:autoSpaceDN w:val="0"/>
        <w:spacing w:line="360" w:lineRule="auto"/>
        <w:ind w:firstLine="630" w:firstLineChars="300"/>
        <w:rPr>
          <w:kern w:val="0"/>
          <w:szCs w:val="20"/>
        </w:rPr>
      </w:pPr>
      <w:r>
        <w:rPr>
          <w:kern w:val="0"/>
          <w:szCs w:val="20"/>
        </w:rPr>
        <w:t>c） 运输车辆类型、载重量与承载量；</w:t>
      </w:r>
    </w:p>
    <w:p w14:paraId="3355CFAA">
      <w:pPr>
        <w:widowControl/>
        <w:autoSpaceDE w:val="0"/>
        <w:autoSpaceDN w:val="0"/>
        <w:spacing w:line="360" w:lineRule="auto"/>
        <w:ind w:firstLine="630" w:firstLineChars="300"/>
        <w:rPr>
          <w:kern w:val="0"/>
          <w:szCs w:val="20"/>
        </w:rPr>
      </w:pPr>
      <w:r>
        <w:rPr>
          <w:kern w:val="0"/>
          <w:szCs w:val="20"/>
        </w:rPr>
        <w:t>d） 使用的能源种类；</w:t>
      </w:r>
    </w:p>
    <w:p w14:paraId="21831291">
      <w:pPr>
        <w:widowControl/>
        <w:autoSpaceDE w:val="0"/>
        <w:autoSpaceDN w:val="0"/>
        <w:spacing w:line="360" w:lineRule="auto"/>
        <w:ind w:firstLine="630" w:firstLineChars="300"/>
        <w:rPr>
          <w:kern w:val="0"/>
          <w:szCs w:val="20"/>
        </w:rPr>
      </w:pPr>
      <w:r>
        <w:rPr>
          <w:kern w:val="0"/>
          <w:szCs w:val="20"/>
        </w:rPr>
        <w:t>e） 储存产品的能源消耗量；</w:t>
      </w:r>
    </w:p>
    <w:p w14:paraId="39CCE50E">
      <w:pPr>
        <w:widowControl/>
        <w:autoSpaceDE w:val="0"/>
        <w:autoSpaceDN w:val="0"/>
        <w:spacing w:line="360" w:lineRule="auto"/>
        <w:ind w:firstLine="630" w:firstLineChars="300"/>
        <w:rPr>
          <w:kern w:val="0"/>
          <w:szCs w:val="20"/>
        </w:rPr>
      </w:pPr>
      <w:r>
        <w:rPr>
          <w:kern w:val="0"/>
          <w:szCs w:val="20"/>
        </w:rPr>
        <w:t>f） 运输过程及储存产品消耗能源的温室气体排放因子。</w:t>
      </w:r>
    </w:p>
    <w:p w14:paraId="4A916E11">
      <w:pPr>
        <w:spacing w:line="360" w:lineRule="auto"/>
        <w:rPr>
          <w:kern w:val="0"/>
          <w:szCs w:val="20"/>
        </w:rPr>
      </w:pPr>
      <w:r>
        <w:rPr>
          <w:kern w:val="0"/>
          <w:szCs w:val="20"/>
        </w:rPr>
        <w:t>6.1.1.4 使用阶段应收集的初级数据包括：</w:t>
      </w:r>
    </w:p>
    <w:p w14:paraId="191555F3">
      <w:pPr>
        <w:spacing w:line="360" w:lineRule="auto"/>
        <w:ind w:firstLine="630" w:firstLineChars="300"/>
        <w:rPr>
          <w:kern w:val="0"/>
          <w:szCs w:val="20"/>
        </w:rPr>
      </w:pPr>
      <w:r>
        <w:rPr>
          <w:kern w:val="0"/>
          <w:szCs w:val="20"/>
        </w:rPr>
        <w:t>a）产品安装的能源消耗量；</w:t>
      </w:r>
    </w:p>
    <w:p w14:paraId="0DA0C7B7">
      <w:pPr>
        <w:pStyle w:val="28"/>
        <w:spacing w:line="360" w:lineRule="auto"/>
        <w:ind w:firstLine="630" w:firstLineChars="300"/>
        <w:rPr>
          <w:rFonts w:ascii="Times New Roman"/>
          <w:kern w:val="2"/>
          <w:szCs w:val="24"/>
        </w:rPr>
      </w:pPr>
      <w:r>
        <w:rPr>
          <w:rFonts w:ascii="Times New Roman"/>
        </w:rPr>
        <w:t>b）产品使用寿命（年）、每年的使用天数、每天的使用小时数；</w:t>
      </w:r>
      <w:bookmarkStart w:id="31" w:name="_Hlk209350150"/>
      <w:r>
        <w:rPr>
          <w:rFonts w:ascii="Times New Roman"/>
          <w:kern w:val="2"/>
          <w:szCs w:val="24"/>
        </w:rPr>
        <w:t>终端消费产品的使用寿命可取产品使用说明中的安全使用年限、设备供应商提供或者国家的相关规定。无明确数值时，可按表1取值。</w:t>
      </w:r>
    </w:p>
    <w:p w14:paraId="6234AC3C">
      <w:pPr>
        <w:autoSpaceDE w:val="0"/>
        <w:autoSpaceDN w:val="0"/>
        <w:spacing w:line="315" w:lineRule="exact"/>
        <w:ind w:left="647" w:right="305"/>
        <w:jc w:val="center"/>
        <w:rPr>
          <w:rFonts w:eastAsia="黑体"/>
          <w:kern w:val="0"/>
          <w:szCs w:val="21"/>
        </w:rPr>
      </w:pPr>
      <w:r>
        <w:rPr>
          <w:rFonts w:eastAsia="黑体"/>
          <w:spacing w:val="-2"/>
          <w:kern w:val="0"/>
          <w:szCs w:val="21"/>
        </w:rPr>
        <w:t>表1 终端消费产品暖通空调及净化设备参考使用年限</w:t>
      </w:r>
      <w:r>
        <w:rPr>
          <w:rFonts w:hint="eastAsia" w:eastAsia="黑体"/>
          <w:kern w:val="0"/>
          <w:szCs w:val="21"/>
        </w:rPr>
        <w:t xml:space="preserve">       单位：年</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3260"/>
        <w:gridCol w:w="1701"/>
      </w:tblGrid>
      <w:tr w14:paraId="448F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4815" w:type="dxa"/>
            <w:gridSpan w:val="2"/>
            <w:vAlign w:val="center"/>
          </w:tcPr>
          <w:p w14:paraId="4F2C6C27">
            <w:pPr>
              <w:pStyle w:val="28"/>
              <w:spacing w:line="360" w:lineRule="auto"/>
              <w:ind w:firstLine="0" w:firstLineChars="0"/>
              <w:jc w:val="center"/>
              <w:rPr>
                <w:rFonts w:ascii="Times New Roman"/>
                <w:b/>
                <w:bCs/>
                <w:szCs w:val="18"/>
              </w:rPr>
            </w:pPr>
            <w:bookmarkStart w:id="32" w:name="_Hlk204190811"/>
            <w:r>
              <w:rPr>
                <w:rFonts w:ascii="Times New Roman"/>
                <w:b/>
                <w:bCs/>
                <w:szCs w:val="18"/>
              </w:rPr>
              <w:t>设备名称</w:t>
            </w:r>
          </w:p>
        </w:tc>
        <w:tc>
          <w:tcPr>
            <w:tcW w:w="1701" w:type="dxa"/>
            <w:vAlign w:val="center"/>
          </w:tcPr>
          <w:p w14:paraId="763E0695">
            <w:pPr>
              <w:pStyle w:val="28"/>
              <w:spacing w:line="360" w:lineRule="auto"/>
              <w:ind w:firstLine="0" w:firstLineChars="0"/>
              <w:jc w:val="center"/>
              <w:rPr>
                <w:rFonts w:ascii="Times New Roman"/>
                <w:b/>
                <w:bCs/>
                <w:szCs w:val="18"/>
              </w:rPr>
            </w:pPr>
            <w:r>
              <w:rPr>
                <w:rFonts w:ascii="Times New Roman"/>
                <w:b/>
                <w:bCs/>
                <w:szCs w:val="18"/>
              </w:rPr>
              <w:t>参考使用寿命</w:t>
            </w:r>
          </w:p>
        </w:tc>
      </w:tr>
      <w:tr w14:paraId="6075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1555" w:type="dxa"/>
            <w:vMerge w:val="restart"/>
            <w:tcBorders>
              <w:right w:val="single" w:color="auto" w:sz="4" w:space="0"/>
            </w:tcBorders>
            <w:vAlign w:val="center"/>
          </w:tcPr>
          <w:p w14:paraId="4CE192BB">
            <w:pPr>
              <w:pStyle w:val="28"/>
              <w:spacing w:line="360" w:lineRule="auto"/>
              <w:ind w:firstLine="0" w:firstLineChars="0"/>
              <w:jc w:val="center"/>
              <w:rPr>
                <w:rFonts w:ascii="Times New Roman"/>
                <w:b/>
                <w:bCs/>
                <w:szCs w:val="18"/>
              </w:rPr>
            </w:pPr>
            <w:r>
              <w:rPr>
                <w:rFonts w:ascii="Times New Roman"/>
                <w:b/>
                <w:bCs/>
                <w:szCs w:val="18"/>
              </w:rPr>
              <w:t>供暖产品</w:t>
            </w:r>
          </w:p>
        </w:tc>
        <w:tc>
          <w:tcPr>
            <w:tcW w:w="3260" w:type="dxa"/>
            <w:tcBorders>
              <w:left w:val="single" w:color="auto" w:sz="4" w:space="0"/>
              <w:bottom w:val="single" w:color="auto" w:sz="4" w:space="0"/>
            </w:tcBorders>
            <w:vAlign w:val="center"/>
          </w:tcPr>
          <w:p w14:paraId="04C6F3E4">
            <w:pPr>
              <w:pStyle w:val="28"/>
              <w:spacing w:line="360" w:lineRule="auto"/>
              <w:ind w:firstLine="0" w:firstLineChars="0"/>
              <w:jc w:val="center"/>
              <w:rPr>
                <w:rFonts w:ascii="Times New Roman"/>
                <w:szCs w:val="18"/>
              </w:rPr>
            </w:pPr>
            <w:r>
              <w:rPr>
                <w:rFonts w:ascii="Times New Roman"/>
                <w:szCs w:val="18"/>
              </w:rPr>
              <w:t>建筑用电供暖散热器</w:t>
            </w:r>
          </w:p>
        </w:tc>
        <w:tc>
          <w:tcPr>
            <w:tcW w:w="1701" w:type="dxa"/>
            <w:tcBorders>
              <w:bottom w:val="single" w:color="auto" w:sz="4" w:space="0"/>
            </w:tcBorders>
            <w:vAlign w:val="center"/>
          </w:tcPr>
          <w:p w14:paraId="5F873124">
            <w:pPr>
              <w:pStyle w:val="28"/>
              <w:spacing w:line="360" w:lineRule="auto"/>
              <w:ind w:firstLine="0" w:firstLineChars="0"/>
              <w:jc w:val="center"/>
              <w:rPr>
                <w:rFonts w:ascii="Times New Roman"/>
                <w:szCs w:val="18"/>
              </w:rPr>
            </w:pPr>
            <w:r>
              <w:rPr>
                <w:rFonts w:ascii="Times New Roman"/>
                <w:szCs w:val="18"/>
              </w:rPr>
              <w:t>10</w:t>
            </w:r>
          </w:p>
        </w:tc>
      </w:tr>
      <w:tr w14:paraId="6500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1555" w:type="dxa"/>
            <w:vMerge w:val="continue"/>
            <w:tcBorders>
              <w:right w:val="single" w:color="auto" w:sz="4" w:space="0"/>
            </w:tcBorders>
            <w:vAlign w:val="center"/>
          </w:tcPr>
          <w:p w14:paraId="0822C7D8">
            <w:pPr>
              <w:pStyle w:val="28"/>
              <w:spacing w:line="360" w:lineRule="auto"/>
              <w:ind w:firstLine="0" w:firstLineChars="0"/>
              <w:jc w:val="center"/>
              <w:rPr>
                <w:rFonts w:ascii="Times New Roman"/>
                <w:b/>
                <w:bCs/>
                <w:szCs w:val="18"/>
              </w:rPr>
            </w:pPr>
          </w:p>
        </w:tc>
        <w:tc>
          <w:tcPr>
            <w:tcW w:w="3260" w:type="dxa"/>
            <w:tcBorders>
              <w:top w:val="single" w:color="auto" w:sz="4" w:space="0"/>
              <w:left w:val="single" w:color="auto" w:sz="4" w:space="0"/>
            </w:tcBorders>
            <w:vAlign w:val="center"/>
          </w:tcPr>
          <w:p w14:paraId="39596629">
            <w:pPr>
              <w:pStyle w:val="28"/>
              <w:spacing w:line="360" w:lineRule="auto"/>
              <w:ind w:firstLine="0" w:firstLineChars="0"/>
              <w:jc w:val="center"/>
              <w:rPr>
                <w:rFonts w:ascii="Times New Roman"/>
                <w:szCs w:val="18"/>
              </w:rPr>
            </w:pPr>
            <w:r>
              <w:rPr>
                <w:rFonts w:ascii="Times New Roman"/>
                <w:szCs w:val="18"/>
              </w:rPr>
              <w:t>发热电缆或电热膜</w:t>
            </w:r>
          </w:p>
        </w:tc>
        <w:tc>
          <w:tcPr>
            <w:tcW w:w="1701" w:type="dxa"/>
            <w:tcBorders>
              <w:top w:val="single" w:color="auto" w:sz="4" w:space="0"/>
            </w:tcBorders>
            <w:vAlign w:val="center"/>
          </w:tcPr>
          <w:p w14:paraId="35B111AE">
            <w:pPr>
              <w:pStyle w:val="28"/>
              <w:spacing w:line="360" w:lineRule="auto"/>
              <w:ind w:firstLine="0" w:firstLineChars="0"/>
              <w:jc w:val="center"/>
              <w:rPr>
                <w:rFonts w:ascii="Times New Roman"/>
                <w:szCs w:val="18"/>
              </w:rPr>
            </w:pPr>
            <w:r>
              <w:rPr>
                <w:rFonts w:ascii="Times New Roman"/>
                <w:szCs w:val="18"/>
              </w:rPr>
              <w:t>25</w:t>
            </w:r>
          </w:p>
        </w:tc>
      </w:tr>
      <w:tr w14:paraId="25C4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1555" w:type="dxa"/>
            <w:tcBorders>
              <w:right w:val="single" w:color="auto" w:sz="4" w:space="0"/>
            </w:tcBorders>
            <w:vAlign w:val="center"/>
          </w:tcPr>
          <w:p w14:paraId="4EA9A544">
            <w:pPr>
              <w:pStyle w:val="28"/>
              <w:spacing w:line="360" w:lineRule="auto"/>
              <w:ind w:firstLine="0" w:firstLineChars="0"/>
              <w:jc w:val="center"/>
              <w:rPr>
                <w:rFonts w:ascii="Times New Roman"/>
                <w:b/>
                <w:bCs/>
                <w:szCs w:val="18"/>
              </w:rPr>
            </w:pPr>
            <w:r>
              <w:rPr>
                <w:rFonts w:ascii="Times New Roman"/>
                <w:b/>
                <w:bCs/>
                <w:szCs w:val="18"/>
              </w:rPr>
              <w:t>通风产品</w:t>
            </w:r>
          </w:p>
        </w:tc>
        <w:tc>
          <w:tcPr>
            <w:tcW w:w="3260" w:type="dxa"/>
            <w:tcBorders>
              <w:left w:val="single" w:color="auto" w:sz="4" w:space="0"/>
              <w:bottom w:val="single" w:color="auto" w:sz="4" w:space="0"/>
            </w:tcBorders>
            <w:vAlign w:val="center"/>
          </w:tcPr>
          <w:p w14:paraId="5D3608A7">
            <w:pPr>
              <w:pStyle w:val="28"/>
              <w:spacing w:line="360" w:lineRule="auto"/>
              <w:ind w:firstLine="0" w:firstLineChars="0"/>
              <w:jc w:val="center"/>
              <w:rPr>
                <w:rFonts w:ascii="Times New Roman"/>
                <w:szCs w:val="18"/>
              </w:rPr>
            </w:pPr>
            <w:r>
              <w:rPr>
                <w:rFonts w:ascii="Times New Roman"/>
                <w:szCs w:val="18"/>
              </w:rPr>
              <w:t>墙式通风器、窗式通风器</w:t>
            </w:r>
          </w:p>
        </w:tc>
        <w:tc>
          <w:tcPr>
            <w:tcW w:w="1701" w:type="dxa"/>
            <w:tcBorders>
              <w:bottom w:val="single" w:color="auto" w:sz="4" w:space="0"/>
            </w:tcBorders>
            <w:vAlign w:val="center"/>
          </w:tcPr>
          <w:p w14:paraId="7CF6DE88">
            <w:pPr>
              <w:pStyle w:val="28"/>
              <w:spacing w:line="360" w:lineRule="auto"/>
              <w:ind w:firstLine="0" w:firstLineChars="0"/>
              <w:jc w:val="center"/>
              <w:rPr>
                <w:rFonts w:ascii="Times New Roman"/>
                <w:szCs w:val="18"/>
              </w:rPr>
            </w:pPr>
            <w:r>
              <w:rPr>
                <w:rFonts w:ascii="Times New Roman"/>
                <w:szCs w:val="18"/>
              </w:rPr>
              <w:t>10</w:t>
            </w:r>
          </w:p>
        </w:tc>
      </w:tr>
      <w:tr w14:paraId="38E5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555" w:type="dxa"/>
            <w:tcBorders>
              <w:right w:val="single" w:color="auto" w:sz="4" w:space="0"/>
            </w:tcBorders>
            <w:vAlign w:val="center"/>
          </w:tcPr>
          <w:p w14:paraId="6D7B90CC">
            <w:pPr>
              <w:pStyle w:val="28"/>
              <w:spacing w:line="360" w:lineRule="auto"/>
              <w:ind w:firstLine="0" w:firstLineChars="0"/>
              <w:jc w:val="center"/>
              <w:rPr>
                <w:rFonts w:ascii="Times New Roman"/>
                <w:b/>
                <w:bCs/>
                <w:szCs w:val="18"/>
              </w:rPr>
            </w:pPr>
            <w:r>
              <w:rPr>
                <w:rFonts w:ascii="Times New Roman"/>
                <w:b/>
                <w:bCs/>
                <w:szCs w:val="18"/>
              </w:rPr>
              <w:t>空调产品</w:t>
            </w:r>
          </w:p>
        </w:tc>
        <w:tc>
          <w:tcPr>
            <w:tcW w:w="3260" w:type="dxa"/>
            <w:tcBorders>
              <w:left w:val="single" w:color="auto" w:sz="4" w:space="0"/>
            </w:tcBorders>
            <w:vAlign w:val="center"/>
          </w:tcPr>
          <w:p w14:paraId="386ED1C1">
            <w:pPr>
              <w:pStyle w:val="28"/>
              <w:spacing w:line="360" w:lineRule="auto"/>
              <w:ind w:firstLine="0" w:firstLineChars="0"/>
              <w:jc w:val="center"/>
              <w:rPr>
                <w:rFonts w:ascii="Times New Roman"/>
                <w:szCs w:val="18"/>
              </w:rPr>
            </w:pPr>
            <w:r>
              <w:rPr>
                <w:rFonts w:ascii="Times New Roman"/>
                <w:szCs w:val="18"/>
              </w:rPr>
              <w:t>工业或商用加湿器、</w:t>
            </w:r>
            <w:bookmarkStart w:id="33" w:name="OLE_LINK18"/>
            <w:r>
              <w:rPr>
                <w:rFonts w:ascii="Times New Roman"/>
                <w:szCs w:val="18"/>
              </w:rPr>
              <w:t>除湿机</w:t>
            </w:r>
            <w:bookmarkEnd w:id="33"/>
          </w:p>
        </w:tc>
        <w:tc>
          <w:tcPr>
            <w:tcW w:w="1701" w:type="dxa"/>
            <w:vAlign w:val="center"/>
          </w:tcPr>
          <w:p w14:paraId="0E71A578">
            <w:pPr>
              <w:pStyle w:val="28"/>
              <w:spacing w:line="360" w:lineRule="auto"/>
              <w:ind w:firstLine="0" w:firstLineChars="0"/>
              <w:jc w:val="center"/>
              <w:rPr>
                <w:rFonts w:ascii="Times New Roman"/>
                <w:szCs w:val="18"/>
              </w:rPr>
            </w:pPr>
            <w:r>
              <w:rPr>
                <w:rFonts w:ascii="Times New Roman"/>
                <w:szCs w:val="18"/>
              </w:rPr>
              <w:t>8</w:t>
            </w:r>
          </w:p>
        </w:tc>
      </w:tr>
      <w:tr w14:paraId="69FAC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55" w:type="dxa"/>
            <w:vMerge w:val="restart"/>
            <w:tcBorders>
              <w:right w:val="single" w:color="auto" w:sz="4" w:space="0"/>
            </w:tcBorders>
            <w:vAlign w:val="center"/>
          </w:tcPr>
          <w:p w14:paraId="5CC1BE22">
            <w:pPr>
              <w:pStyle w:val="28"/>
              <w:spacing w:line="360" w:lineRule="auto"/>
              <w:ind w:firstLine="0" w:firstLineChars="0"/>
              <w:jc w:val="center"/>
              <w:rPr>
                <w:rFonts w:ascii="Times New Roman"/>
                <w:b/>
                <w:bCs/>
                <w:szCs w:val="18"/>
              </w:rPr>
            </w:pPr>
            <w:r>
              <w:rPr>
                <w:rFonts w:ascii="Times New Roman"/>
                <w:b/>
                <w:bCs/>
                <w:szCs w:val="18"/>
              </w:rPr>
              <w:t>净化产品</w:t>
            </w:r>
          </w:p>
        </w:tc>
        <w:tc>
          <w:tcPr>
            <w:tcW w:w="3260" w:type="dxa"/>
            <w:tcBorders>
              <w:left w:val="single" w:color="auto" w:sz="4" w:space="0"/>
              <w:bottom w:val="single" w:color="auto" w:sz="4" w:space="0"/>
            </w:tcBorders>
            <w:vAlign w:val="center"/>
          </w:tcPr>
          <w:p w14:paraId="0FA7F5DF">
            <w:pPr>
              <w:pStyle w:val="28"/>
              <w:spacing w:line="360" w:lineRule="auto"/>
              <w:ind w:firstLine="0" w:firstLineChars="0"/>
              <w:jc w:val="center"/>
              <w:rPr>
                <w:rFonts w:ascii="Times New Roman"/>
                <w:szCs w:val="18"/>
              </w:rPr>
            </w:pPr>
            <w:r>
              <w:rPr>
                <w:rFonts w:ascii="Times New Roman"/>
                <w:szCs w:val="18"/>
              </w:rPr>
              <w:t>洁净工作台</w:t>
            </w:r>
          </w:p>
        </w:tc>
        <w:tc>
          <w:tcPr>
            <w:tcW w:w="1701" w:type="dxa"/>
            <w:tcBorders>
              <w:bottom w:val="single" w:color="auto" w:sz="4" w:space="0"/>
            </w:tcBorders>
            <w:vAlign w:val="center"/>
          </w:tcPr>
          <w:p w14:paraId="3990257C">
            <w:pPr>
              <w:pStyle w:val="28"/>
              <w:spacing w:line="360" w:lineRule="auto"/>
              <w:ind w:firstLine="0" w:firstLineChars="0"/>
              <w:jc w:val="center"/>
              <w:rPr>
                <w:rFonts w:ascii="Times New Roman"/>
                <w:szCs w:val="18"/>
              </w:rPr>
            </w:pPr>
            <w:r>
              <w:rPr>
                <w:rFonts w:ascii="Times New Roman"/>
                <w:szCs w:val="18"/>
              </w:rPr>
              <w:t>8</w:t>
            </w:r>
          </w:p>
        </w:tc>
      </w:tr>
      <w:tr w14:paraId="3115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555" w:type="dxa"/>
            <w:vMerge w:val="continue"/>
            <w:tcBorders>
              <w:right w:val="single" w:color="auto" w:sz="4" w:space="0"/>
            </w:tcBorders>
            <w:vAlign w:val="center"/>
          </w:tcPr>
          <w:p w14:paraId="54385157">
            <w:pPr>
              <w:pStyle w:val="28"/>
              <w:spacing w:line="360" w:lineRule="auto"/>
              <w:ind w:firstLine="0" w:firstLineChars="0"/>
              <w:jc w:val="center"/>
              <w:rPr>
                <w:rFonts w:ascii="Times New Roman"/>
                <w:b/>
                <w:bCs/>
                <w:szCs w:val="18"/>
              </w:rPr>
            </w:pPr>
          </w:p>
        </w:tc>
        <w:tc>
          <w:tcPr>
            <w:tcW w:w="3260" w:type="dxa"/>
            <w:tcBorders>
              <w:top w:val="single" w:color="auto" w:sz="4" w:space="0"/>
              <w:left w:val="single" w:color="auto" w:sz="4" w:space="0"/>
            </w:tcBorders>
            <w:vAlign w:val="center"/>
          </w:tcPr>
          <w:p w14:paraId="0F954B6D">
            <w:pPr>
              <w:pStyle w:val="28"/>
              <w:spacing w:line="360" w:lineRule="auto"/>
              <w:ind w:firstLine="0" w:firstLineChars="0"/>
              <w:jc w:val="center"/>
              <w:rPr>
                <w:rFonts w:ascii="Times New Roman"/>
                <w:szCs w:val="18"/>
              </w:rPr>
            </w:pPr>
            <w:r>
              <w:rPr>
                <w:rFonts w:ascii="Times New Roman"/>
                <w:szCs w:val="18"/>
              </w:rPr>
              <w:t>生物安全柜</w:t>
            </w:r>
          </w:p>
        </w:tc>
        <w:tc>
          <w:tcPr>
            <w:tcW w:w="1701" w:type="dxa"/>
            <w:tcBorders>
              <w:top w:val="single" w:color="auto" w:sz="4" w:space="0"/>
            </w:tcBorders>
            <w:vAlign w:val="center"/>
          </w:tcPr>
          <w:p w14:paraId="6D7B5FC0">
            <w:pPr>
              <w:pStyle w:val="28"/>
              <w:spacing w:line="360" w:lineRule="auto"/>
              <w:ind w:firstLine="0" w:firstLineChars="0"/>
              <w:jc w:val="center"/>
              <w:rPr>
                <w:rFonts w:ascii="Times New Roman"/>
                <w:szCs w:val="18"/>
              </w:rPr>
            </w:pPr>
            <w:r>
              <w:rPr>
                <w:rFonts w:ascii="Times New Roman"/>
                <w:szCs w:val="18"/>
              </w:rPr>
              <w:t>15</w:t>
            </w:r>
          </w:p>
        </w:tc>
      </w:tr>
      <w:tr w14:paraId="42D3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1555" w:type="dxa"/>
            <w:vMerge w:val="continue"/>
            <w:tcBorders>
              <w:right w:val="single" w:color="auto" w:sz="4" w:space="0"/>
            </w:tcBorders>
            <w:vAlign w:val="center"/>
          </w:tcPr>
          <w:p w14:paraId="5480A645">
            <w:pPr>
              <w:pStyle w:val="28"/>
              <w:spacing w:line="360" w:lineRule="auto"/>
              <w:ind w:firstLine="0" w:firstLineChars="0"/>
              <w:jc w:val="center"/>
              <w:rPr>
                <w:rFonts w:ascii="Times New Roman"/>
                <w:b/>
                <w:bCs/>
                <w:szCs w:val="18"/>
              </w:rPr>
            </w:pPr>
          </w:p>
        </w:tc>
        <w:tc>
          <w:tcPr>
            <w:tcW w:w="3260" w:type="dxa"/>
            <w:tcBorders>
              <w:left w:val="single" w:color="auto" w:sz="4" w:space="0"/>
              <w:bottom w:val="single" w:color="auto" w:sz="4" w:space="0"/>
            </w:tcBorders>
            <w:vAlign w:val="center"/>
          </w:tcPr>
          <w:p w14:paraId="66779143">
            <w:pPr>
              <w:pStyle w:val="28"/>
              <w:spacing w:line="360" w:lineRule="auto"/>
              <w:ind w:firstLine="0" w:firstLineChars="0"/>
              <w:jc w:val="center"/>
              <w:rPr>
                <w:rFonts w:ascii="Times New Roman"/>
                <w:szCs w:val="18"/>
              </w:rPr>
            </w:pPr>
            <w:bookmarkStart w:id="34" w:name="_Hlk209355303"/>
            <w:r>
              <w:rPr>
                <w:rFonts w:ascii="Times New Roman"/>
                <w:szCs w:val="18"/>
              </w:rPr>
              <w:t>风机过滤单元</w:t>
            </w:r>
            <w:bookmarkEnd w:id="34"/>
          </w:p>
        </w:tc>
        <w:tc>
          <w:tcPr>
            <w:tcW w:w="1701" w:type="dxa"/>
            <w:tcBorders>
              <w:bottom w:val="single" w:color="auto" w:sz="4" w:space="0"/>
            </w:tcBorders>
            <w:vAlign w:val="center"/>
          </w:tcPr>
          <w:p w14:paraId="140C9C45">
            <w:pPr>
              <w:pStyle w:val="28"/>
              <w:spacing w:line="360" w:lineRule="auto"/>
              <w:ind w:firstLine="0" w:firstLineChars="0"/>
              <w:jc w:val="center"/>
              <w:rPr>
                <w:rFonts w:ascii="Times New Roman"/>
                <w:szCs w:val="18"/>
              </w:rPr>
            </w:pPr>
            <w:r>
              <w:rPr>
                <w:rFonts w:ascii="Times New Roman"/>
                <w:szCs w:val="18"/>
              </w:rPr>
              <w:t>10</w:t>
            </w:r>
          </w:p>
        </w:tc>
      </w:tr>
      <w:bookmarkEnd w:id="31"/>
      <w:bookmarkEnd w:id="32"/>
    </w:tbl>
    <w:p w14:paraId="019486D1">
      <w:pPr>
        <w:spacing w:line="360" w:lineRule="auto"/>
        <w:ind w:firstLine="630" w:firstLineChars="300"/>
        <w:rPr>
          <w:kern w:val="0"/>
          <w:szCs w:val="20"/>
        </w:rPr>
      </w:pPr>
      <w:r>
        <w:rPr>
          <w:kern w:val="0"/>
          <w:szCs w:val="20"/>
        </w:rPr>
        <w:t>c）暖通空调及净化设备的功率；</w:t>
      </w:r>
    </w:p>
    <w:p w14:paraId="02CFF2AB">
      <w:pPr>
        <w:spacing w:line="360" w:lineRule="auto"/>
        <w:ind w:firstLine="630" w:firstLineChars="300"/>
        <w:rPr>
          <w:kern w:val="0"/>
          <w:szCs w:val="20"/>
        </w:rPr>
      </w:pPr>
      <w:r>
        <w:rPr>
          <w:kern w:val="0"/>
          <w:szCs w:val="20"/>
        </w:rPr>
        <w:t>d） 维护保养时物料消耗数量和能源消耗数量；</w:t>
      </w:r>
    </w:p>
    <w:p w14:paraId="43870ABE">
      <w:pPr>
        <w:spacing w:line="360" w:lineRule="auto"/>
        <w:ind w:firstLine="630" w:firstLineChars="300"/>
        <w:rPr>
          <w:kern w:val="0"/>
          <w:szCs w:val="20"/>
        </w:rPr>
      </w:pPr>
      <w:r>
        <w:rPr>
          <w:kern w:val="0"/>
          <w:szCs w:val="20"/>
        </w:rPr>
        <w:t>e） 能源的温室气体排放因子。</w:t>
      </w:r>
    </w:p>
    <w:p w14:paraId="71D502A7">
      <w:pPr>
        <w:pStyle w:val="28"/>
        <w:spacing w:line="360" w:lineRule="auto"/>
        <w:ind w:firstLine="0" w:firstLineChars="0"/>
        <w:rPr>
          <w:rFonts w:ascii="Times New Roman"/>
        </w:rPr>
      </w:pPr>
      <w:bookmarkStart w:id="35" w:name="OLE_LINK19"/>
      <w:r>
        <w:rPr>
          <w:rFonts w:ascii="Times New Roman"/>
        </w:rPr>
        <w:t xml:space="preserve">6.1.1.5 </w:t>
      </w:r>
      <w:bookmarkEnd w:id="35"/>
      <w:r>
        <w:rPr>
          <w:rFonts w:ascii="Times New Roman"/>
        </w:rPr>
        <w:t xml:space="preserve"> 生命末期阶段应收集的数据包括：</w:t>
      </w:r>
    </w:p>
    <w:p w14:paraId="16073A06">
      <w:pPr>
        <w:pStyle w:val="28"/>
        <w:spacing w:line="360" w:lineRule="auto"/>
        <w:ind w:firstLine="630" w:firstLineChars="300"/>
        <w:rPr>
          <w:rFonts w:ascii="Times New Roman"/>
        </w:rPr>
      </w:pPr>
      <w:r>
        <w:rPr>
          <w:rFonts w:ascii="Times New Roman"/>
        </w:rPr>
        <w:t>a） 可回收材料的重量、回收率；</w:t>
      </w:r>
    </w:p>
    <w:p w14:paraId="7C628A38">
      <w:pPr>
        <w:pStyle w:val="28"/>
        <w:spacing w:line="360" w:lineRule="auto"/>
        <w:ind w:firstLine="630" w:firstLineChars="300"/>
        <w:rPr>
          <w:rFonts w:ascii="Times New Roman"/>
        </w:rPr>
      </w:pPr>
      <w:r>
        <w:rPr>
          <w:rFonts w:ascii="Times New Roman"/>
        </w:rPr>
        <w:t>b） 可回收零部件的数量；</w:t>
      </w:r>
    </w:p>
    <w:p w14:paraId="2D7260B0">
      <w:pPr>
        <w:pStyle w:val="28"/>
        <w:spacing w:line="360" w:lineRule="auto"/>
        <w:ind w:firstLine="630" w:firstLineChars="300"/>
        <w:rPr>
          <w:rFonts w:ascii="Times New Roman"/>
        </w:rPr>
      </w:pPr>
      <w:r>
        <w:rPr>
          <w:rFonts w:ascii="Times New Roman"/>
        </w:rPr>
        <w:t>c） 废弃处理材料的重量、处理过程温室气体直接排放等数据；</w:t>
      </w:r>
    </w:p>
    <w:p w14:paraId="6C6280FE">
      <w:pPr>
        <w:spacing w:line="360" w:lineRule="auto"/>
        <w:ind w:firstLine="630" w:firstLineChars="300"/>
      </w:pPr>
      <w:r>
        <w:t>d） 回收材料和处理废弃材料的温室气体排放因子。</w:t>
      </w:r>
      <w:bookmarkStart w:id="36" w:name="_Hlk205889283"/>
    </w:p>
    <w:p w14:paraId="26BBF7D0">
      <w:pPr>
        <w:spacing w:line="360" w:lineRule="auto"/>
        <w:rPr>
          <w:b/>
          <w:bCs/>
          <w:kern w:val="0"/>
          <w:szCs w:val="20"/>
        </w:rPr>
      </w:pPr>
      <w:r>
        <w:rPr>
          <w:b/>
          <w:bCs/>
          <w:kern w:val="0"/>
          <w:szCs w:val="20"/>
        </w:rPr>
        <w:t>6.1.2数据收集要求</w:t>
      </w:r>
    </w:p>
    <w:p w14:paraId="1344A9D5">
      <w:pPr>
        <w:pStyle w:val="28"/>
        <w:spacing w:line="360" w:lineRule="auto"/>
        <w:ind w:firstLine="0" w:firstLineChars="0"/>
        <w:rPr>
          <w:rFonts w:ascii="Times New Roman"/>
        </w:rPr>
      </w:pPr>
      <w:bookmarkStart w:id="37" w:name="OLE_LINK8"/>
      <w:r>
        <w:rPr>
          <w:rFonts w:ascii="Times New Roman"/>
        </w:rPr>
        <w:t>6.1.2.1</w:t>
      </w:r>
      <w:bookmarkEnd w:id="37"/>
      <w:r>
        <w:rPr>
          <w:rFonts w:ascii="Times New Roman"/>
        </w:rPr>
        <w:t xml:space="preserve"> 应收集暖通空调及净化设备系统边界范围内每一个单元的数据，包括初级数据和次级数据。数据收集表可参照附录B。</w:t>
      </w:r>
    </w:p>
    <w:p w14:paraId="5515CDBE">
      <w:pPr>
        <w:spacing w:line="360" w:lineRule="auto"/>
        <w:rPr>
          <w:kern w:val="0"/>
          <w:szCs w:val="20"/>
        </w:rPr>
      </w:pPr>
      <w:r>
        <w:rPr>
          <w:kern w:val="0"/>
          <w:szCs w:val="20"/>
        </w:rPr>
        <w:t>6.1.2.2</w:t>
      </w:r>
      <w:bookmarkStart w:id="38" w:name="_Hlk209347493"/>
      <w:r>
        <w:rPr>
          <w:kern w:val="0"/>
          <w:szCs w:val="20"/>
        </w:rPr>
        <w:t>进行数据收集时，应优先采用初级数据。当无法获取初级数据或对于重要性较低的过程，可采用次级数据，并应注明来源。次级数据的选用应与研究对象的地理范围、时间范围和技术条件相匹配。</w:t>
      </w:r>
      <w:bookmarkEnd w:id="38"/>
    </w:p>
    <w:p w14:paraId="28468E61">
      <w:pPr>
        <w:spacing w:line="360" w:lineRule="auto"/>
        <w:rPr>
          <w:kern w:val="0"/>
          <w:szCs w:val="20"/>
        </w:rPr>
      </w:pPr>
      <w:r>
        <w:rPr>
          <w:kern w:val="0"/>
          <w:szCs w:val="20"/>
        </w:rPr>
        <w:t>6.1.2.3 生命周期种各阶段初级数据的来源包括各种记录、台帐、统计报表、结算单、发票等，使用阶段的初级数据来源还包括产品铭牌标识参数和实验室检测报告等。</w:t>
      </w:r>
    </w:p>
    <w:p w14:paraId="7B011F79">
      <w:pPr>
        <w:pStyle w:val="28"/>
        <w:spacing w:line="360" w:lineRule="auto"/>
        <w:ind w:firstLine="0" w:firstLineChars="0"/>
        <w:rPr>
          <w:rFonts w:ascii="Times New Roman"/>
        </w:rPr>
      </w:pPr>
      <w:r>
        <w:rPr>
          <w:rFonts w:ascii="Times New Roman"/>
        </w:rPr>
        <w:t>6.1.2.4 生命周期各阶段的次级数据包括原材料、电力、燃料燃烧、运输、废弃处理和回收处理的温室气体排放因子及其他技术参数。</w:t>
      </w:r>
    </w:p>
    <w:p w14:paraId="60F3EE60">
      <w:pPr>
        <w:pStyle w:val="28"/>
        <w:spacing w:line="360" w:lineRule="auto"/>
        <w:ind w:firstLine="0" w:firstLineChars="0"/>
        <w:rPr>
          <w:rFonts w:ascii="Times New Roman"/>
        </w:rPr>
      </w:pPr>
      <w:r>
        <w:rPr>
          <w:rFonts w:ascii="Times New Roman"/>
        </w:rPr>
        <w:t>6.1.2.5 温室气体排放因子应按下列顺序选择，并应注明其来源：</w:t>
      </w:r>
    </w:p>
    <w:p w14:paraId="79DD9416">
      <w:pPr>
        <w:pStyle w:val="28"/>
        <w:spacing w:line="360" w:lineRule="auto"/>
        <w:rPr>
          <w:rFonts w:ascii="Times New Roman"/>
        </w:rPr>
      </w:pPr>
      <w:r>
        <w:rPr>
          <w:rFonts w:ascii="Times New Roman"/>
        </w:rPr>
        <w:t>a）企业通过生命周期评价方法且经第三方专业机构验证获得的</w:t>
      </w:r>
      <w:bookmarkStart w:id="39" w:name="OLE_LINK15"/>
      <w:r>
        <w:rPr>
          <w:rFonts w:ascii="Times New Roman"/>
        </w:rPr>
        <w:t>温室气体排放</w:t>
      </w:r>
      <w:bookmarkEnd w:id="39"/>
      <w:r>
        <w:rPr>
          <w:rFonts w:ascii="Times New Roman"/>
        </w:rPr>
        <w:t>因子；</w:t>
      </w:r>
    </w:p>
    <w:p w14:paraId="4885C643">
      <w:pPr>
        <w:pStyle w:val="28"/>
        <w:spacing w:line="360" w:lineRule="auto"/>
        <w:rPr>
          <w:rFonts w:ascii="Times New Roman"/>
        </w:rPr>
      </w:pPr>
      <w:r>
        <w:rPr>
          <w:rFonts w:ascii="Times New Roman"/>
        </w:rPr>
        <w:t>b）国家正式公布的产品温室气体排放因子；</w:t>
      </w:r>
    </w:p>
    <w:p w14:paraId="77B506F9">
      <w:pPr>
        <w:pStyle w:val="28"/>
        <w:spacing w:line="360" w:lineRule="auto"/>
        <w:rPr>
          <w:rFonts w:ascii="Times New Roman"/>
        </w:rPr>
      </w:pPr>
      <w:r>
        <w:rPr>
          <w:rFonts w:ascii="Times New Roman"/>
        </w:rPr>
        <w:t>c）上游供应商提供的符合产品碳足迹计算要求的产品碳足迹数值；</w:t>
      </w:r>
    </w:p>
    <w:p w14:paraId="6E556979">
      <w:pPr>
        <w:pStyle w:val="28"/>
        <w:spacing w:line="360" w:lineRule="auto"/>
        <w:rPr>
          <w:rFonts w:ascii="Times New Roman"/>
        </w:rPr>
      </w:pPr>
      <w:r>
        <w:rPr>
          <w:rFonts w:ascii="Times New Roman"/>
        </w:rPr>
        <w:t>d）经评估的数据库数据；</w:t>
      </w:r>
    </w:p>
    <w:p w14:paraId="41A1E7D6">
      <w:pPr>
        <w:pStyle w:val="28"/>
        <w:spacing w:line="360" w:lineRule="auto"/>
        <w:rPr>
          <w:rFonts w:ascii="Times New Roman"/>
        </w:rPr>
      </w:pPr>
      <w:r>
        <w:rPr>
          <w:rFonts w:ascii="Times New Roman"/>
        </w:rPr>
        <w:t>e）行业经验值、科技文献和论文公布数据等。</w:t>
      </w:r>
    </w:p>
    <w:p w14:paraId="61E1AE2D">
      <w:pPr>
        <w:spacing w:before="156" w:beforeLines="50" w:after="156" w:afterLines="50" w:line="360" w:lineRule="auto"/>
        <w:rPr>
          <w:rFonts w:eastAsia="黑体"/>
        </w:rPr>
      </w:pPr>
      <w:r>
        <w:rPr>
          <w:rFonts w:eastAsia="黑体"/>
        </w:rPr>
        <w:t>6.2 数据质量</w:t>
      </w:r>
    </w:p>
    <w:p w14:paraId="36AB7024">
      <w:pPr>
        <w:pStyle w:val="28"/>
        <w:spacing w:line="360" w:lineRule="auto"/>
        <w:ind w:firstLine="0" w:firstLineChars="0"/>
        <w:rPr>
          <w:rFonts w:ascii="Times New Roman"/>
        </w:rPr>
      </w:pPr>
      <w:r>
        <w:rPr>
          <w:rFonts w:hint="eastAsia" w:ascii="Times New Roman"/>
        </w:rPr>
        <w:t xml:space="preserve">6.2.1 </w:t>
      </w:r>
      <w:r>
        <w:rPr>
          <w:rFonts w:ascii="Times New Roman"/>
        </w:rPr>
        <w:t>产品碳足迹宜通过使用现有最高质量数据，尽可能地减少偏差和不确定性。数据质量的特征应包括定量和定性两个方面，相关特性描述宜涉及以下方面：</w:t>
      </w:r>
    </w:p>
    <w:p w14:paraId="6F0A1EF4">
      <w:pPr>
        <w:pStyle w:val="28"/>
        <w:spacing w:line="360" w:lineRule="auto"/>
        <w:rPr>
          <w:rFonts w:ascii="Times New Roman"/>
        </w:rPr>
      </w:pPr>
      <w:r>
        <w:rPr>
          <w:rFonts w:ascii="Times New Roman"/>
        </w:rPr>
        <w:t xml:space="preserve">a）时间覆盖范围：数据的年份和所收集数据的最小时间长度； </w:t>
      </w:r>
    </w:p>
    <w:p w14:paraId="309631FB">
      <w:pPr>
        <w:pStyle w:val="28"/>
        <w:spacing w:line="360" w:lineRule="auto"/>
        <w:rPr>
          <w:rFonts w:ascii="Times New Roman"/>
        </w:rPr>
      </w:pPr>
      <w:r>
        <w:rPr>
          <w:rFonts w:ascii="Times New Roman"/>
        </w:rPr>
        <w:t>b）地理覆盖范围：为实现产品碳足迹研究目的，所收集的单元过程数据的地理位置；</w:t>
      </w:r>
    </w:p>
    <w:p w14:paraId="1672CAFA">
      <w:pPr>
        <w:pStyle w:val="28"/>
        <w:spacing w:line="360" w:lineRule="auto"/>
        <w:rPr>
          <w:rFonts w:ascii="Times New Roman"/>
        </w:rPr>
      </w:pPr>
      <w:r>
        <w:rPr>
          <w:rFonts w:ascii="Times New Roman"/>
        </w:rPr>
        <w:t>c）技术覆盖范围：具体的技术或技术组合；</w:t>
      </w:r>
    </w:p>
    <w:p w14:paraId="7FFE8959">
      <w:pPr>
        <w:pStyle w:val="28"/>
        <w:spacing w:line="360" w:lineRule="auto"/>
        <w:rPr>
          <w:rFonts w:ascii="Times New Roman"/>
        </w:rPr>
      </w:pPr>
      <w:r>
        <w:rPr>
          <w:rFonts w:ascii="Times New Roman"/>
        </w:rPr>
        <w:t>d）精度：对每个数据值的可变性的度量（例如方差）；</w:t>
      </w:r>
    </w:p>
    <w:p w14:paraId="322EA19B">
      <w:pPr>
        <w:pStyle w:val="28"/>
        <w:spacing w:line="360" w:lineRule="auto"/>
        <w:rPr>
          <w:rFonts w:ascii="Times New Roman"/>
        </w:rPr>
      </w:pPr>
      <w:r>
        <w:rPr>
          <w:rFonts w:ascii="Times New Roman"/>
        </w:rPr>
        <w:t xml:space="preserve">e）完整性：测量或测算的流所占的比例； </w:t>
      </w:r>
    </w:p>
    <w:p w14:paraId="14359C0B">
      <w:pPr>
        <w:pStyle w:val="28"/>
        <w:spacing w:line="360" w:lineRule="auto"/>
        <w:rPr>
          <w:rFonts w:ascii="Times New Roman"/>
        </w:rPr>
      </w:pPr>
      <w:r>
        <w:rPr>
          <w:rFonts w:ascii="Times New Roman"/>
        </w:rPr>
        <w:t>f）代表性：反映实际关注人群对数据集（即时间覆盖范围、地理覆盖范围和技术覆盖范围等）关注程度的真实情况进行定性评价。</w:t>
      </w:r>
    </w:p>
    <w:p w14:paraId="4B75597B">
      <w:pPr>
        <w:pStyle w:val="28"/>
        <w:spacing w:line="360" w:lineRule="auto"/>
        <w:rPr>
          <w:rFonts w:ascii="Times New Roman"/>
        </w:rPr>
      </w:pPr>
      <w:r>
        <w:rPr>
          <w:rFonts w:ascii="Times New Roman"/>
        </w:rPr>
        <w:t>g）一致性：对研究方法学是否能在敏感性分析的不同组成部分中统一应用而进行的定性评价；</w:t>
      </w:r>
    </w:p>
    <w:p w14:paraId="6143183A">
      <w:pPr>
        <w:pStyle w:val="28"/>
        <w:spacing w:line="360" w:lineRule="auto"/>
        <w:rPr>
          <w:rFonts w:ascii="Times New Roman"/>
        </w:rPr>
      </w:pPr>
      <w:r>
        <w:rPr>
          <w:rFonts w:ascii="Times New Roman"/>
        </w:rPr>
        <w:t>h）再现性：对其他独立从业人员采用同一方法学和数值信息重现相同研究结果的定性评价；</w:t>
      </w:r>
    </w:p>
    <w:p w14:paraId="2CB5C11B">
      <w:pPr>
        <w:pStyle w:val="28"/>
        <w:spacing w:line="360" w:lineRule="auto"/>
        <w:rPr>
          <w:rFonts w:ascii="Times New Roman"/>
        </w:rPr>
      </w:pPr>
      <w:r>
        <w:rPr>
          <w:rFonts w:ascii="Times New Roman"/>
        </w:rPr>
        <w:t>i）数据来源；</w:t>
      </w:r>
    </w:p>
    <w:p w14:paraId="524EB8F5">
      <w:pPr>
        <w:pStyle w:val="28"/>
        <w:spacing w:line="360" w:lineRule="auto"/>
        <w:rPr>
          <w:rFonts w:ascii="Times New Roman"/>
        </w:rPr>
      </w:pPr>
      <w:r>
        <w:rPr>
          <w:rFonts w:ascii="Times New Roman"/>
        </w:rPr>
        <w:t xml:space="preserve">j）信息的不确定性。 </w:t>
      </w:r>
    </w:p>
    <w:p w14:paraId="7CD1BE5E">
      <w:pPr>
        <w:pStyle w:val="28"/>
        <w:spacing w:line="360" w:lineRule="auto"/>
        <w:ind w:firstLine="0" w:firstLineChars="0"/>
        <w:rPr>
          <w:rFonts w:ascii="Times New Roman"/>
        </w:rPr>
      </w:pPr>
      <w:r>
        <w:rPr>
          <w:rFonts w:hint="eastAsia" w:ascii="Times New Roman"/>
        </w:rPr>
        <w:t xml:space="preserve">6.2.2 </w:t>
      </w:r>
      <w:r>
        <w:rPr>
          <w:rFonts w:ascii="Times New Roman"/>
        </w:rPr>
        <w:t>开展产品碳足迹研究的组织宜建立数据管理系统，保留相关文件和记录，进行数据质量评价，并持续提高数据质量。数据质量评价可参照附录C。</w:t>
      </w:r>
    </w:p>
    <w:bookmarkEnd w:id="36"/>
    <w:p w14:paraId="712B6A12">
      <w:pPr>
        <w:spacing w:before="156" w:beforeLines="50" w:after="156" w:afterLines="50" w:line="360" w:lineRule="auto"/>
        <w:rPr>
          <w:rFonts w:eastAsia="黑体"/>
        </w:rPr>
      </w:pPr>
      <w:r>
        <w:rPr>
          <w:rFonts w:eastAsia="黑体"/>
        </w:rPr>
        <w:t>6.3 数据审定</w:t>
      </w:r>
    </w:p>
    <w:p w14:paraId="39DB77FB">
      <w:pPr>
        <w:spacing w:line="360" w:lineRule="auto"/>
        <w:rPr>
          <w:kern w:val="0"/>
          <w:szCs w:val="20"/>
        </w:rPr>
      </w:pPr>
      <w:r>
        <w:rPr>
          <w:kern w:val="0"/>
          <w:szCs w:val="20"/>
        </w:rPr>
        <w:t xml:space="preserve">        在数据收集过程中应对数据的有效性进行检查，以确认并提供证据证明其符合6.2的规定。数据有效性检查可采用物料平衡、能量平衡、与历史数据和相近工艺数据对比等方式，确认数据合理性。</w:t>
      </w:r>
    </w:p>
    <w:p w14:paraId="477BF10D">
      <w:pPr>
        <w:spacing w:before="156" w:beforeLines="50" w:after="156" w:afterLines="50" w:line="360" w:lineRule="auto"/>
        <w:rPr>
          <w:rFonts w:eastAsia="黑体"/>
        </w:rPr>
      </w:pPr>
      <w:r>
        <w:rPr>
          <w:rFonts w:eastAsia="黑体"/>
        </w:rPr>
        <w:t>6.4 数据分配</w:t>
      </w:r>
    </w:p>
    <w:p w14:paraId="78DB5A88">
      <w:pPr>
        <w:spacing w:line="360" w:lineRule="auto"/>
        <w:rPr>
          <w:kern w:val="0"/>
          <w:szCs w:val="20"/>
        </w:rPr>
      </w:pPr>
      <w:r>
        <w:rPr>
          <w:kern w:val="0"/>
          <w:szCs w:val="20"/>
        </w:rPr>
        <w:t>6.4.1在边界设置或数据收集时，避免进行数据分配。当发现一个过程的输入和输出包含多个产品，总排放量应在产品生命周期内进行分配。</w:t>
      </w:r>
    </w:p>
    <w:p w14:paraId="122D194E">
      <w:pPr>
        <w:spacing w:line="360" w:lineRule="auto"/>
        <w:rPr>
          <w:kern w:val="0"/>
          <w:szCs w:val="20"/>
        </w:rPr>
      </w:pPr>
      <w:r>
        <w:rPr>
          <w:kern w:val="0"/>
          <w:szCs w:val="20"/>
        </w:rPr>
        <w:t>6.4.2数据分配时，应符合以下原则：</w:t>
      </w:r>
    </w:p>
    <w:p w14:paraId="67308F96">
      <w:pPr>
        <w:widowControl/>
        <w:autoSpaceDE w:val="0"/>
        <w:autoSpaceDN w:val="0"/>
        <w:spacing w:line="360" w:lineRule="auto"/>
        <w:ind w:firstLine="420" w:firstLineChars="200"/>
        <w:rPr>
          <w:kern w:val="0"/>
          <w:szCs w:val="20"/>
        </w:rPr>
      </w:pPr>
      <w:r>
        <w:rPr>
          <w:kern w:val="0"/>
          <w:szCs w:val="20"/>
        </w:rPr>
        <w:t>a）优先使用生产量、生产工时等物理关系参数进行分配；</w:t>
      </w:r>
    </w:p>
    <w:p w14:paraId="4D016DEB">
      <w:pPr>
        <w:widowControl/>
        <w:autoSpaceDE w:val="0"/>
        <w:autoSpaceDN w:val="0"/>
        <w:spacing w:line="360" w:lineRule="auto"/>
        <w:ind w:firstLine="420" w:firstLineChars="200"/>
        <w:rPr>
          <w:kern w:val="0"/>
          <w:szCs w:val="20"/>
        </w:rPr>
      </w:pPr>
      <w:r>
        <w:rPr>
          <w:kern w:val="0"/>
          <w:szCs w:val="20"/>
        </w:rPr>
        <w:t>b）无法找到物理关系时，则依经济价值进行分配；</w:t>
      </w:r>
    </w:p>
    <w:p w14:paraId="4AE2B6F3">
      <w:pPr>
        <w:widowControl/>
        <w:autoSpaceDE w:val="0"/>
        <w:autoSpaceDN w:val="0"/>
        <w:spacing w:line="360" w:lineRule="auto"/>
        <w:ind w:firstLine="420" w:firstLineChars="200"/>
        <w:rPr>
          <w:kern w:val="0"/>
          <w:szCs w:val="20"/>
        </w:rPr>
      </w:pPr>
      <w:r>
        <w:rPr>
          <w:kern w:val="0"/>
          <w:szCs w:val="20"/>
        </w:rPr>
        <w:t>c）使用其他分配方法时，需提供使用参数的基础及计算说明。</w:t>
      </w:r>
    </w:p>
    <w:p w14:paraId="7691554D">
      <w:pPr>
        <w:spacing w:before="156" w:beforeLines="50" w:after="156" w:afterLines="50" w:line="360" w:lineRule="auto"/>
        <w:rPr>
          <w:rFonts w:eastAsia="黑体"/>
        </w:rPr>
      </w:pPr>
      <w:r>
        <w:rPr>
          <w:rFonts w:eastAsia="黑体"/>
        </w:rPr>
        <w:t>6.5 数据取舍原则</w:t>
      </w:r>
    </w:p>
    <w:p w14:paraId="408260AF">
      <w:pPr>
        <w:spacing w:line="360" w:lineRule="auto"/>
        <w:ind w:firstLine="420" w:firstLineChars="200"/>
      </w:pPr>
      <w:bookmarkStart w:id="40" w:name="_Hlk195019629"/>
      <w:r>
        <w:t>在暖通空调及净化设备碳足迹量化过程中，可舍弃影响小于1%的环节，但系统边界内舍弃环节总的影响不应超过碳足迹总量的5%，且应在产品碳足迹报告中予以说明。</w:t>
      </w:r>
    </w:p>
    <w:bookmarkEnd w:id="40"/>
    <w:p w14:paraId="64C40133">
      <w:pPr>
        <w:pStyle w:val="2"/>
        <w:keepNext w:val="0"/>
        <w:keepLines w:val="0"/>
        <w:spacing w:before="312" w:beforeLines="100" w:after="312" w:afterLines="100" w:line="240" w:lineRule="auto"/>
        <w:rPr>
          <w:rFonts w:eastAsia="黑体"/>
          <w:bCs w:val="0"/>
          <w:kern w:val="2"/>
          <w:sz w:val="21"/>
          <w:szCs w:val="21"/>
        </w:rPr>
      </w:pPr>
      <w:bookmarkStart w:id="41" w:name="_Toc211864627"/>
      <w:r>
        <w:rPr>
          <w:rFonts w:eastAsia="黑体"/>
          <w:bCs w:val="0"/>
          <w:kern w:val="2"/>
          <w:sz w:val="21"/>
          <w:szCs w:val="21"/>
        </w:rPr>
        <w:t>7 产品碳足迹影响评价</w:t>
      </w:r>
      <w:bookmarkEnd w:id="41"/>
    </w:p>
    <w:p w14:paraId="34AB96CC">
      <w:pPr>
        <w:spacing w:before="156" w:beforeLines="50" w:after="156" w:afterLines="50" w:line="360" w:lineRule="auto"/>
        <w:rPr>
          <w:rFonts w:eastAsia="黑体"/>
        </w:rPr>
      </w:pPr>
      <w:r>
        <w:rPr>
          <w:rFonts w:eastAsia="黑体"/>
        </w:rPr>
        <w:t>7.1 通则</w:t>
      </w:r>
    </w:p>
    <w:p w14:paraId="666C1A6E">
      <w:pPr>
        <w:spacing w:line="360" w:lineRule="auto"/>
      </w:pPr>
      <w:r>
        <w:t>7.1.1 以1台（套、件）件为功能单位时，暖通空调及净化设备的终端消费产品和非终端消费产品的碳足迹为系统边界内各阶段温室气体排放量之和，</w:t>
      </w:r>
      <w:r>
        <w:rPr>
          <w:rFonts w:hint="eastAsia"/>
        </w:rPr>
        <w:t>应按</w:t>
      </w:r>
      <w:r>
        <w:t>公式（1）和公式（2）</w:t>
      </w:r>
      <w:r>
        <w:rPr>
          <w:rFonts w:hint="eastAsia"/>
        </w:rPr>
        <w:t>计算：</w:t>
      </w:r>
    </w:p>
    <w:p w14:paraId="68177337">
      <w:pPr>
        <w:spacing w:line="360" w:lineRule="auto"/>
        <w:jc w:val="right"/>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GHG</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Manuf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Op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Fnl</m:t>
            </m:r>
            <m:ctrlPr>
              <w:rPr>
                <w:rFonts w:ascii="Cambria Math" w:hAnsi="Cambria Math"/>
                <w:i/>
              </w:rPr>
            </m:ctrlPr>
          </m:sub>
        </m:sSub>
      </m:oMath>
      <w:r>
        <w:t xml:space="preserve">                           （1）</w:t>
      </w:r>
    </w:p>
    <w:p w14:paraId="16950B11">
      <w:pPr>
        <w:wordWrap w:val="0"/>
        <w:spacing w:line="360" w:lineRule="auto"/>
        <w:ind w:firstLine="420" w:firstLineChars="200"/>
        <w:jc w:val="right"/>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GHG</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Manuf</m:t>
            </m:r>
            <m:ctrlPr>
              <w:rPr>
                <w:rFonts w:ascii="Cambria Math" w:hAnsi="Cambria Math"/>
                <w:i/>
              </w:rPr>
            </m:ctrlPr>
          </m:sub>
        </m:sSub>
      </m:oMath>
      <w:r>
        <w:t xml:space="preserve">                                           （2）</w:t>
      </w:r>
    </w:p>
    <w:p w14:paraId="07B271AA">
      <w:pPr>
        <w:spacing w:line="360" w:lineRule="auto"/>
        <w:ind w:firstLine="420" w:firstLineChars="200"/>
      </w:pPr>
      <w:r>
        <w:t>式中：</w:t>
      </w:r>
    </w:p>
    <w:p w14:paraId="0B341A1A">
      <w:pPr>
        <w:spacing w:line="360" w:lineRule="auto"/>
        <w:ind w:firstLine="420" w:firstLineChars="200"/>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GHG</m:t>
            </m:r>
            <m:ctrlPr>
              <w:rPr>
                <w:rFonts w:ascii="Cambria Math" w:hAnsi="Cambria Math"/>
                <w:i/>
              </w:rPr>
            </m:ctrlPr>
          </m:sub>
        </m:sSub>
      </m:oMath>
      <w:r>
        <w:t>——以1台（套、件）为功能单位时暖通空调及净化设备</w:t>
      </w:r>
      <w:r>
        <w:rPr>
          <w:rFonts w:hint="eastAsia"/>
        </w:rPr>
        <w:t>的</w:t>
      </w:r>
      <w:r>
        <w:t>碳足迹，单位为千克二氧化碳当量每单位（kgCO</w:t>
      </w:r>
      <w:r>
        <w:rPr>
          <w:vertAlign w:val="subscript"/>
        </w:rPr>
        <w:t>2</w:t>
      </w:r>
      <w:r>
        <w:t>e/单位）；</w:t>
      </w:r>
    </w:p>
    <w:p w14:paraId="26736E7C">
      <w:pPr>
        <w:spacing w:line="360" w:lineRule="auto"/>
        <w:ind w:firstLine="420" w:firstLineChars="200"/>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Matl</m:t>
            </m:r>
            <m:ctrlPr>
              <w:rPr>
                <w:rFonts w:ascii="Cambria Math" w:hAnsi="Cambria Math"/>
                <w:i/>
              </w:rPr>
            </m:ctrlPr>
          </m:sub>
        </m:sSub>
      </m:oMath>
      <w:r>
        <w:t>——原材料获取阶段的温室气体排放，单位为千克二氧化碳当量每单位（kgCO</w:t>
      </w:r>
      <w:r>
        <w:rPr>
          <w:vertAlign w:val="subscript"/>
        </w:rPr>
        <w:t>2</w:t>
      </w:r>
      <w:r>
        <w:t>e/单位）；</w:t>
      </w:r>
    </w:p>
    <w:p w14:paraId="0315A8E6">
      <w:pPr>
        <w:spacing w:line="360" w:lineRule="auto"/>
        <w:ind w:firstLine="420" w:firstLineChars="200"/>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Manuf</m:t>
            </m:r>
            <m:ctrlPr>
              <w:rPr>
                <w:rFonts w:ascii="Cambria Math" w:hAnsi="Cambria Math"/>
                <w:i/>
              </w:rPr>
            </m:ctrlPr>
          </m:sub>
        </m:sSub>
      </m:oMath>
      <w:r>
        <w:t>——生产阶段的温室气体排放，单位为千克二氧化碳当量每单位（kgCO</w:t>
      </w:r>
      <w:r>
        <w:rPr>
          <w:vertAlign w:val="subscript"/>
        </w:rPr>
        <w:t>2</w:t>
      </w:r>
      <w:r>
        <w:t>e/单位）；</w:t>
      </w:r>
    </w:p>
    <w:p w14:paraId="7AE77BFD">
      <w:pPr>
        <w:spacing w:line="360" w:lineRule="auto"/>
        <w:ind w:firstLine="420" w:firstLineChars="200"/>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S</m:t>
            </m:r>
            <m:ctrlPr>
              <w:rPr>
                <w:rFonts w:ascii="Cambria Math" w:hAnsi="Cambria Math"/>
                <w:i/>
              </w:rPr>
            </m:ctrlPr>
          </m:sub>
        </m:sSub>
      </m:oMath>
      <w:r>
        <w:t>——分销阶段的温室气体排放，单位为千克二氧化碳当量每单位（kgCO</w:t>
      </w:r>
      <w:r>
        <w:rPr>
          <w:vertAlign w:val="subscript"/>
        </w:rPr>
        <w:t>2</w:t>
      </w:r>
      <w:r>
        <w:t>e/单位）；</w:t>
      </w:r>
    </w:p>
    <w:p w14:paraId="79D5E773">
      <w:pPr>
        <w:spacing w:line="360" w:lineRule="auto"/>
        <w:ind w:firstLine="420" w:firstLineChars="200"/>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Op</m:t>
            </m:r>
            <m:ctrlPr>
              <w:rPr>
                <w:rFonts w:ascii="Cambria Math" w:hAnsi="Cambria Math"/>
                <w:i/>
              </w:rPr>
            </m:ctrlPr>
          </m:sub>
        </m:sSub>
      </m:oMath>
      <w:r>
        <w:t>——使用阶段的温室气体排放，单位为千克二氧化碳当量每单位（kgCO</w:t>
      </w:r>
      <w:r>
        <w:rPr>
          <w:vertAlign w:val="subscript"/>
        </w:rPr>
        <w:t>2</w:t>
      </w:r>
      <w:r>
        <w:t>e/单位）；</w:t>
      </w:r>
    </w:p>
    <w:p w14:paraId="1E1D1E84">
      <w:pPr>
        <w:spacing w:line="360" w:lineRule="auto"/>
        <w:ind w:firstLine="420" w:firstLineChars="200"/>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Fnl</m:t>
            </m:r>
            <m:ctrlPr>
              <w:rPr>
                <w:rFonts w:ascii="Cambria Math" w:hAnsi="Cambria Math"/>
                <w:i/>
              </w:rPr>
            </m:ctrlPr>
          </m:sub>
        </m:sSub>
      </m:oMath>
      <w:r>
        <w:t>——生命末期阶段的温室气体排放，单位为千克二氧化碳当量每单位（kgCO</w:t>
      </w:r>
      <w:r>
        <w:rPr>
          <w:vertAlign w:val="subscript"/>
        </w:rPr>
        <w:t>2</w:t>
      </w:r>
      <w:r>
        <w:t>e/单位）。</w:t>
      </w:r>
    </w:p>
    <w:p w14:paraId="0AD5213C">
      <w:pPr>
        <w:spacing w:line="360" w:lineRule="auto"/>
        <w:ind w:firstLine="360" w:firstLineChars="200"/>
        <w:rPr>
          <w:sz w:val="18"/>
          <w:szCs w:val="18"/>
        </w:rPr>
      </w:pPr>
      <w:r>
        <w:rPr>
          <w:rFonts w:hint="eastAsia"/>
          <w:sz w:val="18"/>
          <w:szCs w:val="18"/>
        </w:rPr>
        <w:t>注：单位为台（套、件）。</w:t>
      </w:r>
    </w:p>
    <w:p w14:paraId="1070FF13">
      <w:pPr>
        <w:spacing w:line="360" w:lineRule="auto"/>
      </w:pPr>
      <w:r>
        <w:t>7.1.2 以单位风量、供冷（热）量等为功能单位时，暖通空调及净化设备的终端消费产品和非终端消费产品的碳足迹</w:t>
      </w:r>
      <w:r>
        <w:rPr>
          <w:rFonts w:hint="eastAsia"/>
        </w:rPr>
        <w:t>应</w:t>
      </w:r>
      <w:r>
        <w:t>按式（3）计算</w:t>
      </w:r>
      <w:r>
        <w:rPr>
          <w:rFonts w:hint="eastAsia"/>
        </w:rPr>
        <w:t>：</w:t>
      </w:r>
    </w:p>
    <w:p w14:paraId="4E07CF94">
      <w:pPr>
        <w:spacing w:line="360" w:lineRule="auto"/>
        <w:jc w:val="right"/>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GHG</m:t>
                </m:r>
                <m:ctrlPr>
                  <w:rPr>
                    <w:rFonts w:ascii="Cambria Math" w:hAnsi="Cambria Math"/>
                    <w:i/>
                  </w:rPr>
                </m:ctrlPr>
              </m:sub>
            </m:sSub>
            <m:ctrlPr>
              <w:rPr>
                <w:rFonts w:ascii="Cambria Math" w:hAnsi="Cambria Math"/>
                <w:i/>
              </w:rPr>
            </m:ctrlPr>
          </m:num>
          <m:den>
            <m:r>
              <m:rPr/>
              <w:rPr>
                <w:rFonts w:ascii="Cambria Math" w:hAnsi="Cambria Math"/>
              </w:rPr>
              <m:t>FU</m:t>
            </m:r>
            <m:ctrlPr>
              <w:rPr>
                <w:rFonts w:ascii="Cambria Math" w:hAnsi="Cambria Math"/>
                <w:i/>
              </w:rPr>
            </m:ctrlPr>
          </m:den>
        </m:f>
      </m:oMath>
      <w:r>
        <w:t xml:space="preserve">                                                         （3）</w:t>
      </w:r>
    </w:p>
    <w:p w14:paraId="5D44CCD9">
      <w:pPr>
        <w:spacing w:line="360" w:lineRule="auto"/>
        <w:ind w:firstLine="420" w:firstLineChars="200"/>
      </w:pPr>
      <w:r>
        <w:t>式中：</w:t>
      </w:r>
    </w:p>
    <w:p w14:paraId="2EC91CA8">
      <w:pPr>
        <w:spacing w:line="360" w:lineRule="auto"/>
        <w:ind w:firstLine="420" w:firstLineChars="200"/>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f</m:t>
            </m:r>
            <m:ctrlPr>
              <w:rPr>
                <w:rFonts w:ascii="Cambria Math" w:hAnsi="Cambria Math"/>
                <w:i/>
              </w:rPr>
            </m:ctrlPr>
          </m:sub>
        </m:sSub>
      </m:oMath>
      <w:r>
        <w:rPr>
          <w:rFonts w:hint="eastAsia"/>
        </w:rPr>
        <w:t>——</w:t>
      </w:r>
      <w:r>
        <w:t>以单位风量、供冷（热）量等为功能单位时暖通空调及净化设备</w:t>
      </w:r>
      <w:r>
        <w:rPr>
          <w:rFonts w:hint="eastAsia"/>
        </w:rPr>
        <w:t>的</w:t>
      </w:r>
      <w:r>
        <w:t>碳足迹，单位为千克二氧化碳当量每</w:t>
      </w:r>
      <w:r>
        <w:rPr>
          <w:rFonts w:hint="eastAsia"/>
        </w:rPr>
        <w:t>功能单位</w:t>
      </w:r>
      <w:r>
        <w:t>（kgCO</w:t>
      </w:r>
      <w:r>
        <w:rPr>
          <w:vertAlign w:val="subscript"/>
        </w:rPr>
        <w:t>2</w:t>
      </w:r>
      <w:r>
        <w:t>e/</w:t>
      </w:r>
      <w:r>
        <w:rPr>
          <w:rFonts w:hint="eastAsia"/>
        </w:rPr>
        <w:t>功能</w:t>
      </w:r>
      <w:r>
        <w:t>单位）；</w:t>
      </w:r>
    </w:p>
    <w:p w14:paraId="5F24B062">
      <w:pPr>
        <w:spacing w:line="360" w:lineRule="auto"/>
        <w:ind w:firstLine="420" w:firstLineChars="200"/>
      </w:pPr>
      <m:oMath>
        <m:r>
          <m:rPr/>
          <w:rPr>
            <w:rFonts w:ascii="Cambria Math" w:hAnsi="Cambria Math"/>
          </w:rPr>
          <m:t>FU</m:t>
        </m:r>
      </m:oMath>
      <w:r>
        <w:t>——暖通空调及净化设备的风量、供冷（热）量等功能参数。</w:t>
      </w:r>
    </w:p>
    <w:p w14:paraId="4E6EE362">
      <w:pPr>
        <w:spacing w:before="156" w:beforeLines="50" w:after="156" w:afterLines="50" w:line="360" w:lineRule="auto"/>
        <w:rPr>
          <w:b/>
          <w:bCs/>
        </w:rPr>
      </w:pPr>
      <w:r>
        <w:rPr>
          <w:rFonts w:eastAsia="黑体"/>
        </w:rPr>
        <w:t>7.2</w:t>
      </w:r>
      <w:r>
        <w:rPr>
          <w:rFonts w:eastAsia="黑体"/>
          <w:b/>
          <w:bCs/>
        </w:rPr>
        <w:t xml:space="preserve"> </w:t>
      </w:r>
      <w:r>
        <w:rPr>
          <w:rFonts w:eastAsia="黑体"/>
        </w:rPr>
        <w:t>原材料获取阶段的温室气体排放</w:t>
      </w:r>
    </w:p>
    <w:p w14:paraId="0F1608FC">
      <w:pPr>
        <w:spacing w:line="360" w:lineRule="auto"/>
        <w:ind w:firstLine="420" w:firstLineChars="200"/>
      </w:pPr>
      <w:r>
        <w:t>原材料获取阶段的碳足迹应按式（4）计算</w:t>
      </w:r>
      <w:r>
        <w:rPr>
          <w:rFonts w:hint="eastAsia"/>
        </w:rPr>
        <w:t>：</w:t>
      </w:r>
    </w:p>
    <w:p w14:paraId="5B6371FA">
      <w:pPr>
        <w:spacing w:line="360" w:lineRule="auto"/>
        <w:jc w:val="right"/>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Matl</m:t>
            </m:r>
            <m:ctrlPr>
              <w:rPr>
                <w:rFonts w:ascii="Cambria Math" w:hAnsi="Cambria Math"/>
                <w:i/>
              </w:rPr>
            </m:ctrlPr>
          </m:sub>
        </m:sSub>
        <m:r>
          <m:rPr/>
          <w:rPr>
            <w:rFonts w:ascii="Cambria Math" w:hAnsi="Cambria Math"/>
          </w:rPr>
          <m:t>=</m:t>
        </m:r>
        <m:nary>
          <m:naryPr>
            <m:chr m:val="∑"/>
            <m:limLoc m:val="undOvr"/>
            <m:subHide m:val="1"/>
            <m:supHide m:val="1"/>
            <m:ctrlPr>
              <w:rPr>
                <w:rFonts w:ascii="Cambria Math" w:hAnsi="Cambria Math"/>
                <w:i/>
                <w:kern w:val="0"/>
                <w:szCs w:val="20"/>
              </w:rPr>
            </m:ctrlPr>
          </m:naryPr>
          <m:sub>
            <m:ctrlPr>
              <w:rPr>
                <w:rFonts w:ascii="Cambria Math" w:hAnsi="Cambria Math"/>
                <w:i/>
                <w:kern w:val="0"/>
                <w:szCs w:val="20"/>
              </w:rPr>
            </m:ctrlPr>
          </m:sub>
          <m:sup>
            <m:ctrlPr>
              <w:rPr>
                <w:rFonts w:ascii="Cambria Math" w:hAnsi="Cambria Math"/>
                <w:i/>
                <w:kern w:val="0"/>
                <w:szCs w:val="20"/>
              </w:rPr>
            </m:ctrlPr>
          </m:sup>
          <m:e>
            <m:r>
              <m:rPr/>
              <w:rPr>
                <w:rFonts w:ascii="Cambria Math" w:hAnsi="Cambria Math"/>
                <w:kern w:val="0"/>
                <w:szCs w:val="20"/>
              </w:rPr>
              <m:t>(</m:t>
            </m:r>
            <m:sSub>
              <m:sSubPr>
                <m:ctrlPr>
                  <w:rPr>
                    <w:rFonts w:ascii="Cambria Math" w:hAnsi="Cambria Math"/>
                    <w:i/>
                    <w:kern w:val="0"/>
                    <w:szCs w:val="20"/>
                  </w:rPr>
                </m:ctrlPr>
              </m:sSubPr>
              <m:e>
                <m:r>
                  <m:rPr/>
                  <w:rPr>
                    <w:rFonts w:ascii="Cambria Math" w:hAnsi="Cambria Math"/>
                  </w:rPr>
                  <m:t>M</m:t>
                </m:r>
                <m:ctrlPr>
                  <w:rPr>
                    <w:rFonts w:ascii="Cambria Math" w:hAnsi="Cambria Math"/>
                    <w:i/>
                    <w:kern w:val="0"/>
                    <w:szCs w:val="20"/>
                  </w:rPr>
                </m:ctrlPr>
              </m:e>
              <m:sub>
                <m:r>
                  <m:rPr/>
                  <w:rPr>
                    <w:rFonts w:ascii="Cambria Math" w:hAnsi="Cambria Math"/>
                  </w:rPr>
                  <m:t>i</m:t>
                </m:r>
                <m:ctrlPr>
                  <w:rPr>
                    <w:rFonts w:ascii="Cambria Math" w:hAnsi="Cambria Math"/>
                    <w:i/>
                    <w:kern w:val="0"/>
                    <w:szCs w:val="20"/>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mi</m:t>
                </m:r>
                <m:ctrlPr>
                  <w:rPr>
                    <w:rFonts w:ascii="Cambria Math" w:hAnsi="Cambria Math"/>
                    <w:i/>
                  </w:rPr>
                </m:ctrlPr>
              </m:sub>
            </m:sSub>
            <m:ctrlPr>
              <w:rPr>
                <w:rFonts w:ascii="Cambria Math" w:hAnsi="Cambria Math"/>
                <w:i/>
                <w:kern w:val="0"/>
                <w:szCs w:val="20"/>
              </w:rPr>
            </m:ctrlPr>
          </m:e>
        </m:nary>
        <m:r>
          <m:rPr/>
          <w:rPr>
            <w:rFonts w:ascii="Cambria Math" w:hAnsi="Cambria Math"/>
            <w:kern w:val="0"/>
            <w:szCs w:val="20"/>
          </w:rPr>
          <m:t>+</m:t>
        </m:r>
        <m:sSub>
          <m:sSubPr>
            <m:ctrlPr>
              <w:rPr>
                <w:rFonts w:ascii="Cambria Math" w:hAnsi="Cambria Math"/>
                <w:i/>
                <w:kern w:val="0"/>
                <w:szCs w:val="20"/>
              </w:rPr>
            </m:ctrlPr>
          </m:sSubPr>
          <m:e>
            <m:r>
              <m:rPr/>
              <w:rPr>
                <w:rFonts w:ascii="Cambria Math" w:hAnsi="Cambria Math"/>
                <w:kern w:val="0"/>
                <w:szCs w:val="20"/>
              </w:rPr>
              <m:t>M</m:t>
            </m:r>
            <m:ctrlPr>
              <w:rPr>
                <w:rFonts w:ascii="Cambria Math" w:hAnsi="Cambria Math"/>
                <w:i/>
                <w:kern w:val="0"/>
                <w:szCs w:val="20"/>
              </w:rPr>
            </m:ctrlPr>
          </m:e>
          <m:sub>
            <m:r>
              <m:rPr/>
              <w:rPr>
                <w:rFonts w:ascii="Cambria Math" w:hAnsi="Cambria Math"/>
                <w:kern w:val="0"/>
                <w:szCs w:val="20"/>
              </w:rPr>
              <m:t>trans,i</m:t>
            </m:r>
            <m:ctrlPr>
              <w:rPr>
                <w:rFonts w:ascii="Cambria Math" w:hAnsi="Cambria Math"/>
                <w:i/>
                <w:kern w:val="0"/>
                <w:szCs w:val="20"/>
              </w:rPr>
            </m:ctrlPr>
          </m:sub>
        </m:sSub>
        <m:r>
          <m:rPr/>
          <w:rPr>
            <w:rFonts w:ascii="Cambria Math" w:hAnsi="Cambria Math"/>
            <w:kern w:val="0"/>
            <w:szCs w:val="20"/>
          </w:rPr>
          <m:t>×</m:t>
        </m:r>
        <m:sSub>
          <m:sSubPr>
            <m:ctrlPr>
              <w:rPr>
                <w:rFonts w:ascii="Cambria Math" w:hAnsi="Cambria Math"/>
                <w:i/>
                <w:kern w:val="0"/>
                <w:szCs w:val="20"/>
              </w:rPr>
            </m:ctrlPr>
          </m:sSubPr>
          <m:e>
            <m:r>
              <m:rPr/>
              <w:rPr>
                <w:rFonts w:ascii="Cambria Math" w:hAnsi="Cambria Math"/>
                <w:kern w:val="0"/>
                <w:szCs w:val="20"/>
              </w:rPr>
              <m:t>D</m:t>
            </m:r>
            <m:ctrlPr>
              <w:rPr>
                <w:rFonts w:ascii="Cambria Math" w:hAnsi="Cambria Math"/>
                <w:i/>
                <w:kern w:val="0"/>
                <w:szCs w:val="20"/>
              </w:rPr>
            </m:ctrlPr>
          </m:e>
          <m:sub>
            <m:r>
              <m:rPr/>
              <w:rPr>
                <w:rFonts w:ascii="Cambria Math" w:hAnsi="Cambria Math"/>
                <w:kern w:val="0"/>
                <w:szCs w:val="20"/>
              </w:rPr>
              <m:t>trans,i</m:t>
            </m:r>
            <m:ctrlPr>
              <w:rPr>
                <w:rFonts w:ascii="Cambria Math" w:hAnsi="Cambria Math"/>
                <w:i/>
                <w:kern w:val="0"/>
                <w:szCs w:val="20"/>
              </w:rPr>
            </m:ctrlPr>
          </m:sub>
        </m:sSub>
        <m:r>
          <m:rPr/>
          <w:rPr>
            <w:rFonts w:ascii="Cambria Math" w:hAnsi="Cambria Math"/>
            <w:kern w:val="0"/>
            <w:szCs w:val="20"/>
          </w:rPr>
          <m:t>×</m:t>
        </m:r>
        <m:sSub>
          <m:sSubPr>
            <m:ctrlPr>
              <w:rPr>
                <w:rFonts w:ascii="Cambria Math" w:hAnsi="Cambria Math"/>
                <w:i/>
                <w:kern w:val="0"/>
                <w:szCs w:val="20"/>
              </w:rPr>
            </m:ctrlPr>
          </m:sSubPr>
          <m:e>
            <m:r>
              <m:rPr/>
              <w:rPr>
                <w:rFonts w:ascii="Cambria Math" w:hAnsi="Cambria Math"/>
                <w:kern w:val="0"/>
                <w:szCs w:val="20"/>
              </w:rPr>
              <m:t>EF</m:t>
            </m:r>
            <m:ctrlPr>
              <w:rPr>
                <w:rFonts w:ascii="Cambria Math" w:hAnsi="Cambria Math"/>
                <w:i/>
                <w:kern w:val="0"/>
                <w:szCs w:val="20"/>
              </w:rPr>
            </m:ctrlPr>
          </m:e>
          <m:sub>
            <m:r>
              <m:rPr/>
              <w:rPr>
                <w:rFonts w:ascii="Cambria Math" w:hAnsi="Cambria Math"/>
              </w:rPr>
              <m:t>trans,i</m:t>
            </m:r>
            <m:ctrlPr>
              <w:rPr>
                <w:rFonts w:ascii="Cambria Math" w:hAnsi="Cambria Math"/>
                <w:i/>
                <w:kern w:val="0"/>
                <w:szCs w:val="20"/>
              </w:rPr>
            </m:ctrlPr>
          </m:sub>
        </m:sSub>
        <m:r>
          <m:rPr/>
          <w:rPr>
            <w:rFonts w:ascii="Cambria Math" w:hAnsi="Cambria Math"/>
            <w:kern w:val="0"/>
            <w:szCs w:val="20"/>
          </w:rPr>
          <m:t xml:space="preserve"> )</m:t>
        </m:r>
      </m:oMath>
      <w:r>
        <w:t xml:space="preserve">      </w:t>
      </w:r>
      <w:r>
        <w:rPr>
          <w:rFonts w:hint="eastAsia"/>
        </w:rPr>
        <w:t xml:space="preserve">           </w:t>
      </w:r>
      <w:r>
        <w:t xml:space="preserve">   （4）</w:t>
      </w:r>
    </w:p>
    <w:p w14:paraId="11187A23">
      <w:pPr>
        <w:spacing w:line="360" w:lineRule="auto"/>
        <w:ind w:firstLine="420" w:firstLineChars="200"/>
        <w:jc w:val="left"/>
      </w:pPr>
      <w:r>
        <w:t>式中：</w:t>
      </w:r>
    </w:p>
    <w:p w14:paraId="1DB80A05">
      <w:pPr>
        <w:spacing w:line="360" w:lineRule="auto"/>
        <w:ind w:firstLine="840" w:firstLineChars="400"/>
        <w:jc w:val="left"/>
        <w:rPr>
          <w:kern w:val="0"/>
          <w:szCs w:val="20"/>
        </w:rPr>
      </w:pPr>
      <m:oMath>
        <m:sSub>
          <m:sSubPr>
            <m:ctrlPr>
              <w:rPr>
                <w:rFonts w:ascii="Cambria Math" w:hAnsi="Cambria Math"/>
                <w:i/>
                <w:kern w:val="0"/>
                <w:szCs w:val="20"/>
              </w:rPr>
            </m:ctrlPr>
          </m:sSubPr>
          <m:e>
            <m:r>
              <m:rPr/>
              <w:rPr>
                <w:rFonts w:ascii="Cambria Math" w:hAnsi="Cambria Math"/>
              </w:rPr>
              <m:t>M</m:t>
            </m:r>
            <m:ctrlPr>
              <w:rPr>
                <w:rFonts w:ascii="Cambria Math" w:hAnsi="Cambria Math"/>
                <w:i/>
                <w:kern w:val="0"/>
                <w:szCs w:val="20"/>
              </w:rPr>
            </m:ctrlPr>
          </m:e>
          <m:sub>
            <m:r>
              <m:rPr/>
              <w:rPr>
                <w:rFonts w:ascii="Cambria Math" w:hAnsi="Cambria Math"/>
              </w:rPr>
              <m:t>i</m:t>
            </m:r>
            <m:ctrlPr>
              <w:rPr>
                <w:rFonts w:ascii="Cambria Math" w:hAnsi="Cambria Math"/>
                <w:i/>
                <w:kern w:val="0"/>
                <w:szCs w:val="20"/>
              </w:rPr>
            </m:ctrlPr>
          </m:sub>
        </m:sSub>
      </m:oMath>
      <w:r>
        <w:rPr>
          <w:kern w:val="0"/>
          <w:szCs w:val="20"/>
        </w:rPr>
        <w:t>——单位暖通空调及净化设备第i种原材料消耗量，</w:t>
      </w:r>
      <w:r>
        <w:rPr>
          <w:rFonts w:hint="eastAsia"/>
          <w:kern w:val="0"/>
          <w:szCs w:val="20"/>
        </w:rPr>
        <w:t>单位为千克每单位（</w:t>
      </w:r>
      <w:r>
        <w:rPr>
          <w:kern w:val="0"/>
          <w:szCs w:val="20"/>
        </w:rPr>
        <w:t>kg/单位</w:t>
      </w:r>
      <w:r>
        <w:rPr>
          <w:rFonts w:hint="eastAsia"/>
          <w:kern w:val="0"/>
          <w:szCs w:val="20"/>
        </w:rPr>
        <w:t>）</w:t>
      </w:r>
      <w:r>
        <w:rPr>
          <w:kern w:val="0"/>
          <w:szCs w:val="20"/>
        </w:rPr>
        <w:t>；</w:t>
      </w:r>
    </w:p>
    <w:p w14:paraId="38652507">
      <w:pPr>
        <w:spacing w:line="360" w:lineRule="auto"/>
        <w:ind w:firstLine="840" w:firstLineChars="400"/>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mi</m:t>
            </m:r>
            <m:ctrlPr>
              <w:rPr>
                <w:rFonts w:ascii="Cambria Math" w:hAnsi="Cambria Math"/>
                <w:i/>
              </w:rPr>
            </m:ctrlPr>
          </m:sub>
        </m:sSub>
      </m:oMath>
      <w:r>
        <w:t>——第i种原材料的温室气体排放因子，单位为千克二氧化碳当量每</w:t>
      </w:r>
      <w:r>
        <w:rPr>
          <w:rFonts w:hint="eastAsia"/>
        </w:rPr>
        <w:t>千克（</w:t>
      </w:r>
      <w:r>
        <w:t>kgCO</w:t>
      </w:r>
      <w:r>
        <w:rPr>
          <w:vertAlign w:val="subscript"/>
        </w:rPr>
        <w:t>2</w:t>
      </w:r>
      <w:r>
        <w:t>e/kg</w:t>
      </w:r>
      <w:r>
        <w:rPr>
          <w:rFonts w:hint="eastAsia"/>
        </w:rPr>
        <w:t>）</w:t>
      </w:r>
      <w:r>
        <w:t>；</w:t>
      </w:r>
    </w:p>
    <w:p w14:paraId="03CE0CEF">
      <w:pPr>
        <w:spacing w:line="360" w:lineRule="auto"/>
        <w:ind w:firstLine="840" w:firstLineChars="400"/>
        <w:jc w:val="left"/>
        <w:rPr>
          <w:kern w:val="0"/>
          <w:szCs w:val="20"/>
        </w:rPr>
      </w:pPr>
      <m:oMath>
        <m:sSub>
          <m:sSubPr>
            <m:ctrlPr>
              <w:rPr>
                <w:rFonts w:ascii="Cambria Math" w:hAnsi="Cambria Math"/>
                <w:i/>
                <w:kern w:val="0"/>
                <w:szCs w:val="20"/>
              </w:rPr>
            </m:ctrlPr>
          </m:sSubPr>
          <m:e>
            <m:r>
              <m:rPr/>
              <w:rPr>
                <w:rFonts w:ascii="Cambria Math" w:hAnsi="Cambria Math"/>
                <w:kern w:val="0"/>
                <w:szCs w:val="20"/>
              </w:rPr>
              <m:t>M</m:t>
            </m:r>
            <m:ctrlPr>
              <w:rPr>
                <w:rFonts w:ascii="Cambria Math" w:hAnsi="Cambria Math"/>
                <w:i/>
                <w:kern w:val="0"/>
                <w:szCs w:val="20"/>
              </w:rPr>
            </m:ctrlPr>
          </m:e>
          <m:sub>
            <m:r>
              <m:rPr/>
              <w:rPr>
                <w:rFonts w:ascii="Cambria Math" w:hAnsi="Cambria Math"/>
                <w:kern w:val="0"/>
                <w:szCs w:val="20"/>
              </w:rPr>
              <m:t>trans,i</m:t>
            </m:r>
            <m:ctrlPr>
              <w:rPr>
                <w:rFonts w:ascii="Cambria Math" w:hAnsi="Cambria Math"/>
                <w:i/>
                <w:kern w:val="0"/>
                <w:szCs w:val="20"/>
              </w:rPr>
            </m:ctrlPr>
          </m:sub>
        </m:sSub>
      </m:oMath>
      <w:r>
        <w:rPr>
          <w:kern w:val="0"/>
          <w:szCs w:val="20"/>
        </w:rPr>
        <w:t>——单位暖通空调及净化设备第i种原材料的运输重量，</w:t>
      </w:r>
      <w:r>
        <w:rPr>
          <w:rFonts w:hint="eastAsia"/>
          <w:kern w:val="0"/>
          <w:szCs w:val="20"/>
        </w:rPr>
        <w:t>单位为吨（</w:t>
      </w:r>
      <w:r>
        <w:rPr>
          <w:kern w:val="0"/>
          <w:szCs w:val="20"/>
        </w:rPr>
        <w:t>t</w:t>
      </w:r>
      <w:r>
        <w:rPr>
          <w:rFonts w:hint="eastAsia"/>
          <w:kern w:val="0"/>
          <w:szCs w:val="20"/>
        </w:rPr>
        <w:t>）</w:t>
      </w:r>
      <w:r>
        <w:rPr>
          <w:kern w:val="0"/>
          <w:szCs w:val="20"/>
        </w:rPr>
        <w:t>；</w:t>
      </w:r>
    </w:p>
    <w:p w14:paraId="4D86CBEF">
      <w:pPr>
        <w:spacing w:line="360" w:lineRule="auto"/>
        <w:ind w:firstLine="840" w:firstLineChars="400"/>
        <w:jc w:val="left"/>
        <w:rPr>
          <w:kern w:val="0"/>
          <w:szCs w:val="20"/>
        </w:rPr>
      </w:pPr>
      <m:oMath>
        <m:sSub>
          <m:sSubPr>
            <m:ctrlPr>
              <w:rPr>
                <w:rFonts w:ascii="Cambria Math" w:hAnsi="Cambria Math"/>
                <w:i/>
                <w:kern w:val="0"/>
                <w:szCs w:val="20"/>
              </w:rPr>
            </m:ctrlPr>
          </m:sSubPr>
          <m:e>
            <m:r>
              <m:rPr/>
              <w:rPr>
                <w:rFonts w:ascii="Cambria Math" w:hAnsi="Cambria Math"/>
                <w:kern w:val="0"/>
                <w:szCs w:val="20"/>
              </w:rPr>
              <m:t>D</m:t>
            </m:r>
            <m:ctrlPr>
              <w:rPr>
                <w:rFonts w:ascii="Cambria Math" w:hAnsi="Cambria Math"/>
                <w:i/>
                <w:kern w:val="0"/>
                <w:szCs w:val="20"/>
              </w:rPr>
            </m:ctrlPr>
          </m:e>
          <m:sub>
            <m:r>
              <m:rPr/>
              <w:rPr>
                <w:rFonts w:ascii="Cambria Math" w:hAnsi="Cambria Math"/>
                <w:kern w:val="0"/>
                <w:szCs w:val="20"/>
              </w:rPr>
              <m:t>trans,i</m:t>
            </m:r>
            <m:ctrlPr>
              <w:rPr>
                <w:rFonts w:ascii="Cambria Math" w:hAnsi="Cambria Math"/>
                <w:i/>
                <w:kern w:val="0"/>
                <w:szCs w:val="20"/>
              </w:rPr>
            </m:ctrlPr>
          </m:sub>
        </m:sSub>
      </m:oMath>
      <w:r>
        <w:rPr>
          <w:kern w:val="0"/>
          <w:szCs w:val="20"/>
        </w:rPr>
        <w:t>——单位暖通空调及净化设备第i种原材料的运输距离，</w:t>
      </w:r>
      <w:r>
        <w:rPr>
          <w:rFonts w:hint="eastAsia"/>
          <w:kern w:val="0"/>
          <w:szCs w:val="20"/>
        </w:rPr>
        <w:t>单位为千米（</w:t>
      </w:r>
      <w:r>
        <w:rPr>
          <w:kern w:val="0"/>
          <w:szCs w:val="20"/>
        </w:rPr>
        <w:t>km</w:t>
      </w:r>
      <w:r>
        <w:rPr>
          <w:rFonts w:hint="eastAsia"/>
          <w:kern w:val="0"/>
          <w:szCs w:val="20"/>
        </w:rPr>
        <w:t>）</w:t>
      </w:r>
      <w:r>
        <w:rPr>
          <w:kern w:val="0"/>
          <w:szCs w:val="20"/>
        </w:rPr>
        <w:t>；</w:t>
      </w:r>
    </w:p>
    <w:p w14:paraId="1F72AB60">
      <w:pPr>
        <w:spacing w:line="360" w:lineRule="auto"/>
        <w:ind w:firstLine="840" w:firstLineChars="400"/>
        <w:jc w:val="left"/>
      </w:pPr>
      <m:oMath>
        <m:sSub>
          <m:sSubPr>
            <m:ctrlPr>
              <w:rPr>
                <w:rFonts w:ascii="Cambria Math" w:hAnsi="Cambria Math"/>
                <w:i/>
                <w:kern w:val="0"/>
                <w:szCs w:val="20"/>
              </w:rPr>
            </m:ctrlPr>
          </m:sSubPr>
          <m:e>
            <m:r>
              <m:rPr/>
              <w:rPr>
                <w:rFonts w:ascii="Cambria Math" w:hAnsi="Cambria Math"/>
                <w:kern w:val="0"/>
                <w:szCs w:val="20"/>
              </w:rPr>
              <m:t>EF</m:t>
            </m:r>
            <m:ctrlPr>
              <w:rPr>
                <w:rFonts w:ascii="Cambria Math" w:hAnsi="Cambria Math"/>
                <w:i/>
                <w:kern w:val="0"/>
                <w:szCs w:val="20"/>
              </w:rPr>
            </m:ctrlPr>
          </m:e>
          <m:sub>
            <m:r>
              <m:rPr/>
              <w:rPr>
                <w:rFonts w:ascii="Cambria Math" w:hAnsi="Cambria Math"/>
              </w:rPr>
              <m:t>trans,i</m:t>
            </m:r>
            <m:ctrlPr>
              <w:rPr>
                <w:rFonts w:ascii="Cambria Math" w:hAnsi="Cambria Math"/>
                <w:i/>
                <w:kern w:val="0"/>
                <w:szCs w:val="20"/>
              </w:rPr>
            </m:ctrlPr>
          </m:sub>
        </m:sSub>
      </m:oMath>
      <w:r>
        <w:rPr>
          <w:kern w:val="0"/>
          <w:szCs w:val="20"/>
        </w:rPr>
        <w:t>——单位暖通空调及净化设备第i种原材料的运输环节温室气体排放因子，</w:t>
      </w:r>
      <w:r>
        <w:t>单位为千克二氧化碳当量每</w:t>
      </w:r>
      <w:r>
        <w:rPr>
          <w:rFonts w:hint="eastAsia"/>
        </w:rPr>
        <w:t>吨每千米（</w:t>
      </w:r>
      <w:r>
        <w:t>kgCO</w:t>
      </w:r>
      <w:r>
        <w:rPr>
          <w:vertAlign w:val="subscript"/>
        </w:rPr>
        <w:t>2</w:t>
      </w:r>
      <w:r>
        <w:t>e/</w:t>
      </w:r>
      <w:r>
        <w:rPr>
          <w:szCs w:val="21"/>
        </w:rPr>
        <w:t>（t·km）</w:t>
      </w:r>
      <w:r>
        <w:rPr>
          <w:rFonts w:hint="eastAsia"/>
          <w:szCs w:val="21"/>
        </w:rPr>
        <w:t>）</w:t>
      </w:r>
      <w:r>
        <w:t>。</w:t>
      </w:r>
    </w:p>
    <w:p w14:paraId="1B4A54C3">
      <w:pPr>
        <w:spacing w:before="156" w:beforeLines="50" w:after="156" w:afterLines="50" w:line="360" w:lineRule="auto"/>
        <w:rPr>
          <w:rFonts w:eastAsia="黑体"/>
        </w:rPr>
      </w:pPr>
      <w:r>
        <w:rPr>
          <w:rFonts w:eastAsia="黑体"/>
        </w:rPr>
        <w:t>7.3</w:t>
      </w:r>
      <w:r>
        <w:rPr>
          <w:rFonts w:eastAsia="黑体"/>
          <w:b/>
          <w:bCs/>
        </w:rPr>
        <w:t xml:space="preserve"> </w:t>
      </w:r>
      <w:r>
        <w:rPr>
          <w:rFonts w:eastAsia="黑体"/>
        </w:rPr>
        <w:t>生产阶段的温室气体排放</w:t>
      </w:r>
    </w:p>
    <w:p w14:paraId="0DA280CE">
      <w:pPr>
        <w:spacing w:line="360" w:lineRule="auto"/>
      </w:pPr>
      <w:r>
        <w:t>7.3.1生产阶段的碳足迹应按式（5）计算</w:t>
      </w:r>
      <w:r>
        <w:rPr>
          <w:rFonts w:hint="eastAsia"/>
        </w:rPr>
        <w:t>：</w:t>
      </w:r>
    </w:p>
    <w:p w14:paraId="2E3408A6">
      <w:pPr>
        <w:spacing w:line="360" w:lineRule="auto"/>
        <w:jc w:val="right"/>
        <w:rPr>
          <w:kern w:val="0"/>
          <w:szCs w:val="20"/>
        </w:rPr>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Manuf</m:t>
            </m:r>
            <m:ctrlPr>
              <w:rPr>
                <w:rFonts w:ascii="Cambria Math" w:hAnsi="Cambria Math"/>
                <w:i/>
              </w:rPr>
            </m:ctrlPr>
          </m:sub>
        </m:sSub>
        <m:r>
          <m:rPr/>
          <w:rPr>
            <w:rFonts w:ascii="Cambria Math" w:hAnsi="Cambria Math"/>
          </w:rPr>
          <m:t>=</m:t>
        </m:r>
        <m:sSub>
          <m:sSubPr>
            <m:ctrlPr>
              <w:rPr>
                <w:rFonts w:ascii="Cambria Math" w:hAnsi="Cambria Math"/>
                <w:i/>
                <w:kern w:val="0"/>
                <w:szCs w:val="20"/>
              </w:rPr>
            </m:ctrlPr>
          </m:sSubPr>
          <m:e>
            <m:r>
              <m:rPr/>
              <w:rPr>
                <w:rFonts w:ascii="Cambria Math" w:hAnsi="Cambria Math"/>
              </w:rPr>
              <m:t>CF</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r>
          <m:rPr/>
          <w:rPr>
            <w:rFonts w:ascii="Cambria Math" w:hAnsi="Cambria Math"/>
            <w:kern w:val="0"/>
            <w:szCs w:val="20"/>
          </w:rPr>
          <m:t>+</m:t>
        </m:r>
        <m:sSub>
          <m:sSubPr>
            <m:ctrlPr>
              <w:rPr>
                <w:rFonts w:ascii="Cambria Math" w:hAnsi="Cambria Math"/>
                <w:i/>
                <w:kern w:val="0"/>
                <w:szCs w:val="20"/>
              </w:rPr>
            </m:ctrlPr>
          </m:sSubPr>
          <m:e>
            <m:r>
              <m:rPr/>
              <w:rPr>
                <w:rFonts w:ascii="Cambria Math" w:hAnsi="Cambria Math"/>
                <w:kern w:val="0"/>
                <w:szCs w:val="20"/>
              </w:rPr>
              <m:t>CE</m:t>
            </m:r>
            <m:ctrlPr>
              <w:rPr>
                <w:rFonts w:ascii="Cambria Math" w:hAnsi="Cambria Math"/>
                <w:i/>
                <w:kern w:val="0"/>
                <w:szCs w:val="20"/>
              </w:rPr>
            </m:ctrlPr>
          </m:e>
          <m:sub>
            <m:r>
              <m:rPr/>
              <w:rPr>
                <w:rFonts w:ascii="Cambria Math" w:hAnsi="Cambria Math"/>
                <w:kern w:val="0"/>
                <w:szCs w:val="20"/>
              </w:rPr>
              <m:t>p</m:t>
            </m:r>
            <m:ctrlPr>
              <w:rPr>
                <w:rFonts w:ascii="Cambria Math" w:hAnsi="Cambria Math"/>
                <w:i/>
                <w:kern w:val="0"/>
                <w:szCs w:val="20"/>
              </w:rPr>
            </m:ctrlPr>
          </m:sub>
        </m:sSub>
      </m:oMath>
      <w:r>
        <w:rPr>
          <w:kern w:val="0"/>
          <w:szCs w:val="20"/>
        </w:rPr>
        <w:t xml:space="preserve">                         </w:t>
      </w:r>
      <w:r>
        <w:rPr>
          <w:rFonts w:hint="eastAsia"/>
          <w:kern w:val="0"/>
          <w:szCs w:val="20"/>
        </w:rPr>
        <w:t xml:space="preserve">                    </w:t>
      </w:r>
      <w:r>
        <w:rPr>
          <w:kern w:val="0"/>
          <w:szCs w:val="20"/>
        </w:rPr>
        <w:t xml:space="preserve">     （5）</w:t>
      </w:r>
    </w:p>
    <w:p w14:paraId="1D3C896B">
      <w:pPr>
        <w:spacing w:line="360" w:lineRule="auto"/>
        <w:ind w:firstLine="420" w:firstLineChars="200"/>
      </w:pPr>
      <w:r>
        <w:t>式中：</w:t>
      </w:r>
    </w:p>
    <w:p w14:paraId="19FBAD02">
      <w:pPr>
        <w:spacing w:line="360" w:lineRule="auto"/>
        <w:ind w:firstLine="630" w:firstLineChars="300"/>
        <w:jc w:val="left"/>
        <w:rPr>
          <w:kern w:val="0"/>
          <w:szCs w:val="20"/>
        </w:rPr>
      </w:pPr>
      <m:oMath>
        <m:sSub>
          <m:sSubPr>
            <m:ctrlPr>
              <w:rPr>
                <w:rFonts w:ascii="Cambria Math" w:hAnsi="Cambria Math"/>
                <w:i/>
                <w:kern w:val="0"/>
                <w:szCs w:val="20"/>
              </w:rPr>
            </m:ctrlPr>
          </m:sSubPr>
          <m:e>
            <m:r>
              <m:rPr/>
              <w:rPr>
                <w:rFonts w:ascii="Cambria Math" w:hAnsi="Cambria Math"/>
              </w:rPr>
              <m:t>CF</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oMath>
      <w:r>
        <w:rPr>
          <w:kern w:val="0"/>
          <w:szCs w:val="20"/>
        </w:rPr>
        <w:t>——生产</w:t>
      </w:r>
      <w:r>
        <w:t>单位</w:t>
      </w:r>
      <w:r>
        <w:rPr>
          <w:kern w:val="0"/>
          <w:szCs w:val="20"/>
        </w:rPr>
        <w:t>暖通空调及净化设备化石燃料燃烧产生的碳排放量，</w:t>
      </w:r>
      <w:r>
        <w:t>单位为千克二氧化碳当量每单位</w:t>
      </w:r>
      <w:r>
        <w:rPr>
          <w:rFonts w:hint="eastAsia"/>
        </w:rPr>
        <w:t>（</w:t>
      </w:r>
      <w:r>
        <w:t>kgCO</w:t>
      </w:r>
      <w:r>
        <w:rPr>
          <w:vertAlign w:val="subscript"/>
        </w:rPr>
        <w:t>2</w:t>
      </w:r>
      <w:r>
        <w:t>e/单位</w:t>
      </w:r>
      <w:r>
        <w:rPr>
          <w:rFonts w:hint="eastAsia"/>
        </w:rPr>
        <w:t>）</w:t>
      </w:r>
      <w:r>
        <w:rPr>
          <w:kern w:val="0"/>
          <w:szCs w:val="20"/>
        </w:rPr>
        <w:t>；</w:t>
      </w:r>
    </w:p>
    <w:p w14:paraId="6728EB68">
      <w:pPr>
        <w:spacing w:line="360" w:lineRule="auto"/>
        <w:ind w:firstLine="630" w:firstLineChars="300"/>
        <w:jc w:val="left"/>
        <w:rPr>
          <w:kern w:val="0"/>
          <w:szCs w:val="20"/>
        </w:rPr>
      </w:pPr>
      <m:oMath>
        <m:sSub>
          <m:sSubPr>
            <m:ctrlPr>
              <w:rPr>
                <w:rFonts w:ascii="Cambria Math" w:hAnsi="Cambria Math"/>
                <w:i/>
                <w:kern w:val="0"/>
                <w:szCs w:val="20"/>
              </w:rPr>
            </m:ctrlPr>
          </m:sSubPr>
          <m:e>
            <m:r>
              <m:rPr/>
              <w:rPr>
                <w:rFonts w:ascii="Cambria Math" w:hAnsi="Cambria Math"/>
              </w:rPr>
              <m:t>CE</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oMath>
      <w:r>
        <w:rPr>
          <w:kern w:val="0"/>
          <w:szCs w:val="20"/>
        </w:rPr>
        <w:t>——</w:t>
      </w:r>
      <w:r>
        <w:t>生产</w:t>
      </w:r>
      <w:r>
        <w:rPr>
          <w:kern w:val="0"/>
          <w:szCs w:val="20"/>
        </w:rPr>
        <w:t>单位暖通空调及净化设备使用电力的碳排放量，</w:t>
      </w:r>
      <w:r>
        <w:t>单位为千克二氧化碳当量每单位</w:t>
      </w:r>
      <w:r>
        <w:rPr>
          <w:rFonts w:hint="eastAsia"/>
        </w:rPr>
        <w:t>（</w:t>
      </w:r>
      <w:r>
        <w:t>kgCO</w:t>
      </w:r>
      <w:r>
        <w:rPr>
          <w:vertAlign w:val="subscript"/>
        </w:rPr>
        <w:t>2</w:t>
      </w:r>
      <w:r>
        <w:t>e/单位</w:t>
      </w:r>
      <w:r>
        <w:rPr>
          <w:rFonts w:hint="eastAsia"/>
        </w:rPr>
        <w:t>）</w:t>
      </w:r>
      <w:r>
        <w:rPr>
          <w:kern w:val="0"/>
          <w:szCs w:val="20"/>
        </w:rPr>
        <w:t>。</w:t>
      </w:r>
    </w:p>
    <w:p w14:paraId="27DBF223">
      <w:pPr>
        <w:spacing w:line="360" w:lineRule="auto"/>
      </w:pPr>
      <w:r>
        <w:t>7.3.2 化石燃料燃烧的温室气体排放量应按式（6）计算</w:t>
      </w:r>
      <w:r>
        <w:rPr>
          <w:rFonts w:hint="eastAsia"/>
        </w:rPr>
        <w:t>：</w:t>
      </w:r>
    </w:p>
    <w:p w14:paraId="3BE4FE22">
      <w:pPr>
        <w:spacing w:line="360" w:lineRule="auto"/>
        <w:jc w:val="right"/>
      </w:pPr>
      <m:oMath>
        <m:sSub>
          <m:sSubPr>
            <m:ctrlPr>
              <w:rPr>
                <w:rFonts w:ascii="Cambria Math" w:hAnsi="Cambria Math"/>
                <w:i/>
                <w:kern w:val="0"/>
                <w:szCs w:val="20"/>
              </w:rPr>
            </m:ctrlPr>
          </m:sSubPr>
          <m:e>
            <m:r>
              <m:rPr/>
              <w:rPr>
                <w:rFonts w:ascii="Cambria Math" w:hAnsi="Cambria Math"/>
              </w:rPr>
              <m:t>CF</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r>
          <m:rPr/>
          <w:rPr>
            <w:rFonts w:ascii="Cambria Math" w:hAnsi="Cambria Math"/>
          </w:rPr>
          <m:t>=</m:t>
        </m:r>
        <m:nary>
          <m:naryPr>
            <m:chr m:val="∑"/>
            <m:limLoc m:val="undOvr"/>
            <m:subHide m:val="1"/>
            <m:supHide m:val="1"/>
            <m:ctrlPr>
              <w:rPr>
                <w:rFonts w:ascii="Cambria Math" w:hAnsi="Cambria Math"/>
                <w:i/>
                <w:kern w:val="0"/>
                <w:szCs w:val="20"/>
              </w:rPr>
            </m:ctrlPr>
          </m:naryPr>
          <m:sub>
            <m:ctrlPr>
              <w:rPr>
                <w:rFonts w:ascii="Cambria Math" w:hAnsi="Cambria Math"/>
                <w:i/>
                <w:kern w:val="0"/>
                <w:szCs w:val="20"/>
              </w:rPr>
            </m:ctrlPr>
          </m:sub>
          <m:sup>
            <m:ctrlPr>
              <w:rPr>
                <w:rFonts w:ascii="Cambria Math" w:hAnsi="Cambria Math"/>
                <w:i/>
                <w:kern w:val="0"/>
                <w:szCs w:val="20"/>
              </w:rPr>
            </m:ctrlPr>
          </m:sup>
          <m:e>
            <m:sSub>
              <m:sSubPr>
                <m:ctrlPr>
                  <w:rPr>
                    <w:rFonts w:ascii="Cambria Math" w:hAnsi="Cambria Math"/>
                    <w:i/>
                    <w:kern w:val="0"/>
                    <w:szCs w:val="20"/>
                  </w:rPr>
                </m:ctrlPr>
              </m:sSubPr>
              <m:e>
                <m:r>
                  <m:rPr/>
                  <w:rPr>
                    <w:rFonts w:ascii="Cambria Math" w:hAnsi="Cambria Math"/>
                  </w:rPr>
                  <m:t>F</m:t>
                </m:r>
                <m:ctrlPr>
                  <w:rPr>
                    <w:rFonts w:ascii="Cambria Math" w:hAnsi="Cambria Math"/>
                    <w:i/>
                    <w:kern w:val="0"/>
                    <w:szCs w:val="20"/>
                  </w:rPr>
                </m:ctrlPr>
              </m:e>
              <m:sub>
                <m:r>
                  <m:rPr/>
                  <w:rPr>
                    <w:rFonts w:ascii="Cambria Math" w:hAnsi="Cambria Math"/>
                  </w:rPr>
                  <m:t>i</m:t>
                </m:r>
                <m:ctrlPr>
                  <w:rPr>
                    <w:rFonts w:ascii="Cambria Math" w:hAnsi="Cambria Math"/>
                    <w:i/>
                    <w:kern w:val="0"/>
                    <w:szCs w:val="20"/>
                  </w:rPr>
                </m:ctrlPr>
              </m:sub>
            </m:sSub>
            <m:r>
              <m:rPr/>
              <w:rPr>
                <w:rFonts w:ascii="Cambria Math" w:hAnsi="Cambria Math"/>
              </w:rPr>
              <m:t>×</m:t>
            </m:r>
            <m:sSub>
              <m:sSubPr>
                <m:ctrlPr>
                  <w:rPr>
                    <w:rFonts w:ascii="Cambria Math" w:hAnsi="Cambria Math"/>
                    <w:i/>
                  </w:rPr>
                </m:ctrlPr>
              </m:sSubPr>
              <m:e>
                <m:sSub>
                  <m:sSubPr>
                    <m:ctrlPr>
                      <w:rPr>
                        <w:rFonts w:ascii="Cambria Math" w:hAnsi="Cambria Math"/>
                        <w:i/>
                      </w:rPr>
                    </m:ctrlPr>
                  </m:sSubPr>
                  <m:e>
                    <m:r>
                      <m:rPr/>
                      <w:rPr>
                        <w:rFonts w:ascii="Cambria Math" w:hAnsi="Cambria Math"/>
                      </w:rPr>
                      <m:t>CV</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×EF</m:t>
                </m:r>
                <m:ctrlPr>
                  <w:rPr>
                    <w:rFonts w:ascii="Cambria Math" w:hAnsi="Cambria Math"/>
                    <w:i/>
                  </w:rPr>
                </m:ctrlPr>
              </m:e>
              <m:sub>
                <m:r>
                  <m:rPr/>
                  <w:rPr>
                    <w:rFonts w:ascii="Cambria Math" w:hAnsi="Cambria Math"/>
                  </w:rPr>
                  <m:t>fi</m:t>
                </m:r>
                <m:ctrlPr>
                  <w:rPr>
                    <w:rFonts w:ascii="Cambria Math" w:hAnsi="Cambria Math"/>
                    <w:i/>
                  </w:rPr>
                </m:ctrlPr>
              </m:sub>
            </m:sSub>
            <m:ctrlPr>
              <w:rPr>
                <w:rFonts w:ascii="Cambria Math" w:hAnsi="Cambria Math"/>
                <w:i/>
                <w:kern w:val="0"/>
                <w:szCs w:val="20"/>
              </w:rPr>
            </m:ctrlPr>
          </m:e>
        </m:nary>
      </m:oMath>
      <w:r>
        <w:rPr>
          <w:kern w:val="0"/>
          <w:szCs w:val="20"/>
        </w:rPr>
        <w:t xml:space="preserve">                   </w:t>
      </w:r>
      <w:r>
        <w:rPr>
          <w:rFonts w:hint="eastAsia"/>
          <w:kern w:val="0"/>
          <w:szCs w:val="20"/>
        </w:rPr>
        <w:t xml:space="preserve">                   </w:t>
      </w:r>
      <w:r>
        <w:rPr>
          <w:kern w:val="0"/>
          <w:szCs w:val="20"/>
        </w:rPr>
        <w:t xml:space="preserve">         （6）</w:t>
      </w:r>
    </w:p>
    <w:p w14:paraId="5AF63AE3">
      <w:pPr>
        <w:spacing w:line="360" w:lineRule="auto"/>
        <w:ind w:firstLine="420" w:firstLineChars="200"/>
      </w:pPr>
      <w:r>
        <w:t>式中：</w:t>
      </w:r>
    </w:p>
    <w:p w14:paraId="333DFCD1">
      <w:pPr>
        <w:spacing w:line="360" w:lineRule="auto"/>
        <w:ind w:firstLine="420" w:firstLineChars="200"/>
        <w:rPr>
          <w:kern w:val="0"/>
          <w:szCs w:val="20"/>
        </w:rPr>
      </w:pPr>
      <m:oMath>
        <m:sSub>
          <m:sSubPr>
            <m:ctrlPr>
              <w:rPr>
                <w:rFonts w:ascii="Cambria Math" w:hAnsi="Cambria Math"/>
                <w:i/>
                <w:kern w:val="0"/>
                <w:szCs w:val="20"/>
              </w:rPr>
            </m:ctrlPr>
          </m:sSubPr>
          <m:e>
            <m:r>
              <m:rPr/>
              <w:rPr>
                <w:rFonts w:ascii="Cambria Math" w:hAnsi="Cambria Math"/>
              </w:rPr>
              <m:t>F</m:t>
            </m:r>
            <m:ctrlPr>
              <w:rPr>
                <w:rFonts w:ascii="Cambria Math" w:hAnsi="Cambria Math"/>
                <w:i/>
                <w:kern w:val="0"/>
                <w:szCs w:val="20"/>
              </w:rPr>
            </m:ctrlPr>
          </m:e>
          <m:sub>
            <m:r>
              <m:rPr/>
              <w:rPr>
                <w:rFonts w:ascii="Cambria Math" w:hAnsi="Cambria Math"/>
              </w:rPr>
              <m:t>i</m:t>
            </m:r>
            <m:ctrlPr>
              <w:rPr>
                <w:rFonts w:ascii="Cambria Math" w:hAnsi="Cambria Math"/>
                <w:i/>
                <w:kern w:val="0"/>
                <w:szCs w:val="20"/>
              </w:rPr>
            </m:ctrlPr>
          </m:sub>
        </m:sSub>
      </m:oMath>
      <w:r>
        <w:rPr>
          <w:kern w:val="0"/>
          <w:szCs w:val="20"/>
        </w:rPr>
        <w:t>——生产单位暖通空调及净化设备第i种化石燃料的净消耗量，对固体和液体化石燃料，单位为kg/单位，对于气体化石燃料，单位为</w:t>
      </w:r>
      <w:r>
        <w:rPr>
          <w:rFonts w:hint="eastAsia"/>
          <w:kern w:val="0"/>
          <w:szCs w:val="20"/>
        </w:rPr>
        <w:t>立方米每单位（</w:t>
      </w:r>
      <w:r>
        <w:rPr>
          <w:kern w:val="0"/>
          <w:szCs w:val="20"/>
        </w:rPr>
        <w:t>m</w:t>
      </w:r>
      <w:r>
        <w:rPr>
          <w:kern w:val="0"/>
          <w:szCs w:val="20"/>
          <w:vertAlign w:val="superscript"/>
        </w:rPr>
        <w:t>3</w:t>
      </w:r>
      <w:r>
        <w:rPr>
          <w:kern w:val="0"/>
          <w:szCs w:val="20"/>
        </w:rPr>
        <w:t>/单位</w:t>
      </w:r>
      <w:r>
        <w:rPr>
          <w:rFonts w:hint="eastAsia"/>
          <w:kern w:val="0"/>
          <w:szCs w:val="20"/>
        </w:rPr>
        <w:t>）</w:t>
      </w:r>
      <w:r>
        <w:rPr>
          <w:kern w:val="0"/>
          <w:szCs w:val="20"/>
        </w:rPr>
        <w:t>；</w:t>
      </w:r>
    </w:p>
    <w:p w14:paraId="6C18BC68">
      <w:pPr>
        <w:spacing w:line="360" w:lineRule="auto"/>
        <w:ind w:firstLine="420" w:firstLineChars="200"/>
        <w:rPr>
          <w:kern w:val="0"/>
          <w:szCs w:val="20"/>
        </w:rPr>
      </w:pPr>
      <m:oMath>
        <m:sSub>
          <m:sSubPr>
            <m:ctrlPr>
              <w:rPr>
                <w:rFonts w:ascii="Cambria Math" w:hAnsi="Cambria Math"/>
                <w:i/>
              </w:rPr>
            </m:ctrlPr>
          </m:sSubPr>
          <m:e>
            <m:r>
              <m:rPr/>
              <w:rPr>
                <w:rFonts w:ascii="Cambria Math" w:hAnsi="Cambria Math"/>
              </w:rPr>
              <m:t>CV</m:t>
            </m:r>
            <m:ctrlPr>
              <w:rPr>
                <w:rFonts w:ascii="Cambria Math" w:hAnsi="Cambria Math"/>
                <w:i/>
              </w:rPr>
            </m:ctrlPr>
          </m:e>
          <m:sub>
            <m:r>
              <m:rPr/>
              <w:rPr>
                <w:rFonts w:ascii="Cambria Math" w:hAnsi="Cambria Math"/>
              </w:rPr>
              <m:t>i</m:t>
            </m:r>
            <m:ctrlPr>
              <w:rPr>
                <w:rFonts w:ascii="Cambria Math" w:hAnsi="Cambria Math"/>
                <w:i/>
              </w:rPr>
            </m:ctrlPr>
          </m:sub>
        </m:sSub>
      </m:oMath>
      <w:r>
        <w:rPr>
          <w:kern w:val="0"/>
          <w:szCs w:val="20"/>
        </w:rPr>
        <w:t>——生产单位暖通空调及净化设备第i种化石燃料的平均低位发热量，对固体和液体化石燃料，单位为kJ/kg，对于气体化石燃料，单位为</w:t>
      </w:r>
      <w:r>
        <w:rPr>
          <w:rFonts w:hint="eastAsia"/>
          <w:kern w:val="0"/>
          <w:szCs w:val="20"/>
        </w:rPr>
        <w:t>千焦每标准立方米（</w:t>
      </w:r>
      <w:r>
        <w:rPr>
          <w:kern w:val="0"/>
          <w:szCs w:val="20"/>
        </w:rPr>
        <w:t>kJ/Nm</w:t>
      </w:r>
      <w:r>
        <w:rPr>
          <w:kern w:val="0"/>
          <w:szCs w:val="20"/>
          <w:vertAlign w:val="superscript"/>
        </w:rPr>
        <w:t>3</w:t>
      </w:r>
      <w:r>
        <w:rPr>
          <w:rFonts w:hint="eastAsia"/>
          <w:kern w:val="0"/>
          <w:szCs w:val="20"/>
        </w:rPr>
        <w:t>）</w:t>
      </w:r>
      <w:r>
        <w:rPr>
          <w:kern w:val="0"/>
          <w:szCs w:val="20"/>
        </w:rPr>
        <w:t>；</w:t>
      </w:r>
    </w:p>
    <w:p w14:paraId="0C00E3DC">
      <w:pPr>
        <w:spacing w:line="360" w:lineRule="auto"/>
        <w:ind w:firstLine="420" w:firstLineChars="200"/>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fi</m:t>
            </m:r>
            <m:ctrlPr>
              <w:rPr>
                <w:rFonts w:ascii="Cambria Math" w:hAnsi="Cambria Math"/>
                <w:i/>
              </w:rPr>
            </m:ctrlPr>
          </m:sub>
        </m:sSub>
      </m:oMath>
      <w:r>
        <w:t>——第i种化石燃料的温室气体排放因子，单位为千克二氧化碳当量每</w:t>
      </w:r>
      <w:r>
        <w:rPr>
          <w:rFonts w:hint="eastAsia"/>
        </w:rPr>
        <w:t>千焦（</w:t>
      </w:r>
      <w:r>
        <w:t>kgCO</w:t>
      </w:r>
      <w:r>
        <w:rPr>
          <w:vertAlign w:val="subscript"/>
        </w:rPr>
        <w:t>2</w:t>
      </w:r>
      <w:r>
        <w:t>e /kJ</w:t>
      </w:r>
      <w:r>
        <w:rPr>
          <w:rFonts w:hint="eastAsia"/>
        </w:rPr>
        <w:t>）</w:t>
      </w:r>
      <w:r>
        <w:t>。</w:t>
      </w:r>
    </w:p>
    <w:p w14:paraId="19322EFD">
      <w:pPr>
        <w:spacing w:line="360" w:lineRule="auto"/>
      </w:pPr>
      <w:r>
        <w:t>7.3.3 使用电力产生的碳排放量应采用排放因子法，按式（7）进行计算：</w:t>
      </w:r>
    </w:p>
    <w:p w14:paraId="35415F00">
      <w:pPr>
        <w:spacing w:line="360" w:lineRule="auto"/>
        <w:jc w:val="right"/>
      </w:pPr>
      <m:oMath>
        <m:sSub>
          <m:sSubPr>
            <m:ctrlPr>
              <w:rPr>
                <w:rFonts w:ascii="Cambria Math" w:hAnsi="Cambria Math"/>
                <w:i/>
                <w:kern w:val="0"/>
                <w:szCs w:val="20"/>
              </w:rPr>
            </m:ctrlPr>
          </m:sSubPr>
          <m:e>
            <m:r>
              <m:rPr/>
              <w:rPr>
                <w:rFonts w:ascii="Cambria Math" w:hAnsi="Cambria Math"/>
              </w:rPr>
              <m:t>CE</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r>
          <m:rPr/>
          <w:rPr>
            <w:rFonts w:ascii="Cambria Math" w:hAnsi="Cambria Math"/>
          </w:rPr>
          <m:t>=</m:t>
        </m:r>
        <m:sSub>
          <m:sSubPr>
            <m:ctrlPr>
              <w:rPr>
                <w:rFonts w:ascii="Cambria Math" w:hAnsi="Cambria Math"/>
                <w:i/>
                <w:kern w:val="0"/>
                <w:szCs w:val="20"/>
              </w:rPr>
            </m:ctrlPr>
          </m:sSubPr>
          <m:e>
            <m:r>
              <m:rPr/>
              <w:rPr>
                <w:rFonts w:ascii="Cambria Math" w:hAnsi="Cambria Math"/>
              </w:rPr>
              <m:t>E</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e</m:t>
            </m:r>
            <m:ctrlPr>
              <w:rPr>
                <w:rFonts w:ascii="Cambria Math" w:hAnsi="Cambria Math"/>
                <w:i/>
              </w:rPr>
            </m:ctrlPr>
          </m:sub>
        </m:sSub>
      </m:oMath>
      <w:r>
        <w:t xml:space="preserve">                        </w:t>
      </w:r>
      <w:r>
        <w:rPr>
          <w:rFonts w:hint="eastAsia"/>
        </w:rPr>
        <w:t xml:space="preserve">                              </w:t>
      </w:r>
      <w:r>
        <w:t xml:space="preserve">          （7）</w:t>
      </w:r>
    </w:p>
    <w:p w14:paraId="27E65A98">
      <w:pPr>
        <w:spacing w:line="360" w:lineRule="auto"/>
        <w:ind w:firstLine="420" w:firstLineChars="200"/>
      </w:pPr>
      <w:r>
        <w:t>式中：</w:t>
      </w:r>
    </w:p>
    <w:p w14:paraId="4B2E39A8">
      <w:pPr>
        <w:spacing w:line="360" w:lineRule="auto"/>
        <w:ind w:firstLine="420" w:firstLineChars="200"/>
        <w:rPr>
          <w:kern w:val="0"/>
          <w:szCs w:val="20"/>
        </w:rPr>
      </w:pPr>
      <m:oMath>
        <m:sSub>
          <m:sSubPr>
            <m:ctrlPr>
              <w:rPr>
                <w:rFonts w:ascii="Cambria Math" w:hAnsi="Cambria Math"/>
                <w:i/>
                <w:kern w:val="0"/>
                <w:szCs w:val="20"/>
              </w:rPr>
            </m:ctrlPr>
          </m:sSubPr>
          <m:e>
            <m:r>
              <m:rPr/>
              <w:rPr>
                <w:rFonts w:ascii="Cambria Math" w:hAnsi="Cambria Math"/>
              </w:rPr>
              <m:t>E</m:t>
            </m:r>
            <m:ctrlPr>
              <w:rPr>
                <w:rFonts w:ascii="Cambria Math" w:hAnsi="Cambria Math"/>
                <w:i/>
                <w:kern w:val="0"/>
                <w:szCs w:val="20"/>
              </w:rPr>
            </m:ctrlPr>
          </m:e>
          <m:sub>
            <m:r>
              <m:rPr/>
              <w:rPr>
                <w:rFonts w:ascii="Cambria Math" w:hAnsi="Cambria Math"/>
              </w:rPr>
              <m:t>p</m:t>
            </m:r>
            <m:ctrlPr>
              <w:rPr>
                <w:rFonts w:ascii="Cambria Math" w:hAnsi="Cambria Math"/>
                <w:i/>
                <w:kern w:val="0"/>
                <w:szCs w:val="20"/>
              </w:rPr>
            </m:ctrlPr>
          </m:sub>
        </m:sSub>
      </m:oMath>
      <w:r>
        <w:rPr>
          <w:kern w:val="0"/>
          <w:szCs w:val="20"/>
        </w:rPr>
        <w:t>——生产单位暖通空调及净化设备需要消耗电力的电量，</w:t>
      </w:r>
      <w:r>
        <w:rPr>
          <w:rFonts w:hint="eastAsia"/>
          <w:kern w:val="0"/>
          <w:szCs w:val="20"/>
        </w:rPr>
        <w:t>单位为千瓦时每单位（</w:t>
      </w:r>
      <w:r>
        <w:rPr>
          <w:kern w:val="0"/>
          <w:szCs w:val="20"/>
        </w:rPr>
        <w:t>kWh/单位</w:t>
      </w:r>
      <w:r>
        <w:rPr>
          <w:rFonts w:hint="eastAsia"/>
          <w:kern w:val="0"/>
          <w:szCs w:val="20"/>
        </w:rPr>
        <w:t>）</w:t>
      </w:r>
      <w:r>
        <w:rPr>
          <w:kern w:val="0"/>
          <w:szCs w:val="20"/>
        </w:rPr>
        <w:t>；</w:t>
      </w:r>
    </w:p>
    <w:p w14:paraId="26738314">
      <w:pPr>
        <w:spacing w:line="360" w:lineRule="auto"/>
        <w:ind w:firstLine="420" w:firstLineChars="200"/>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e</m:t>
            </m:r>
            <m:ctrlPr>
              <w:rPr>
                <w:rFonts w:ascii="Cambria Math" w:hAnsi="Cambria Math"/>
                <w:i/>
              </w:rPr>
            </m:ctrlPr>
          </m:sub>
        </m:sSub>
      </m:oMath>
      <w:r>
        <w:t>——电力温室气体排放因子，单位为千克二氧化碳当量每</w:t>
      </w:r>
      <w:r>
        <w:rPr>
          <w:rFonts w:hint="eastAsia"/>
        </w:rPr>
        <w:t>千瓦时（</w:t>
      </w:r>
      <w:r>
        <w:t>kgCO</w:t>
      </w:r>
      <w:r>
        <w:rPr>
          <w:vertAlign w:val="subscript"/>
        </w:rPr>
        <w:t>2</w:t>
      </w:r>
      <w:r>
        <w:t>e /kWh</w:t>
      </w:r>
      <w:r>
        <w:rPr>
          <w:rFonts w:hint="eastAsia"/>
        </w:rPr>
        <w:t>）</w:t>
      </w:r>
      <w:r>
        <w:t>。</w:t>
      </w:r>
    </w:p>
    <w:p w14:paraId="4C789DB7">
      <w:pPr>
        <w:spacing w:before="156" w:beforeLines="50" w:after="156" w:afterLines="50" w:line="360" w:lineRule="auto"/>
        <w:rPr>
          <w:rFonts w:eastAsia="黑体"/>
        </w:rPr>
      </w:pPr>
      <w:r>
        <w:t xml:space="preserve">7.4 </w:t>
      </w:r>
      <w:r>
        <w:rPr>
          <w:rFonts w:eastAsia="黑体"/>
        </w:rPr>
        <w:t>分销阶段的温室气体排放</w:t>
      </w:r>
    </w:p>
    <w:p w14:paraId="4A475E28">
      <w:pPr>
        <w:spacing w:line="360" w:lineRule="auto"/>
        <w:ind w:firstLine="420" w:firstLineChars="200"/>
      </w:pPr>
      <w:r>
        <w:t>分销阶段的碳足迹应按式（8）计算</w:t>
      </w:r>
      <w:r>
        <w:rPr>
          <w:rFonts w:hint="eastAsia"/>
        </w:rPr>
        <w:t>：</w:t>
      </w:r>
    </w:p>
    <w:p w14:paraId="2EF3F4DB">
      <w:pPr>
        <w:jc w:val="right"/>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szCs w:val="21"/>
          </w:rPr>
          <m:t>=</m:t>
        </m:r>
        <m:nary>
          <m:naryPr>
            <m:chr m:val="∑"/>
            <m:limLoc m:val="undOvr"/>
            <m:subHide m:val="1"/>
            <m:supHide m:val="1"/>
            <m:ctrlPr>
              <w:rPr>
                <w:rFonts w:ascii="Cambria Math" w:hAnsi="Cambria Math"/>
                <w:i/>
                <w:szCs w:val="21"/>
              </w:rPr>
            </m:ctrlPr>
          </m:naryPr>
          <m:sub>
            <m:ctrlPr>
              <w:rPr>
                <w:rFonts w:ascii="Cambria Math" w:hAnsi="Cambria Math"/>
                <w:i/>
                <w:szCs w:val="21"/>
              </w:rPr>
            </m:ctrlPr>
          </m:sub>
          <m:sup>
            <m:ctrlPr>
              <w:rPr>
                <w:rFonts w:ascii="Cambria Math" w:hAnsi="Cambria Math"/>
                <w:i/>
                <w:szCs w:val="21"/>
              </w:rPr>
            </m:ctrlPr>
          </m:sup>
          <m:e>
            <m:nary>
              <m:naryPr>
                <m:chr m:val="∑"/>
                <m:limLoc m:val="undOvr"/>
                <m:subHide m:val="1"/>
                <m:supHide m:val="1"/>
                <m:ctrlPr>
                  <w:rPr>
                    <w:rFonts w:ascii="Cambria Math" w:hAnsi="Cambria Math"/>
                    <w:i/>
                    <w:szCs w:val="21"/>
                  </w:rPr>
                </m:ctrlPr>
              </m:naryPr>
              <m:sub>
                <m:ctrlPr>
                  <w:rPr>
                    <w:rFonts w:ascii="Cambria Math" w:hAnsi="Cambria Math"/>
                    <w:i/>
                    <w:szCs w:val="21"/>
                  </w:rPr>
                </m:ctrlPr>
              </m:sub>
              <m:sup>
                <m:ctrlPr>
                  <w:rPr>
                    <w:rFonts w:ascii="Cambria Math" w:hAnsi="Cambria Math"/>
                    <w:i/>
                    <w:szCs w:val="21"/>
                  </w:rPr>
                </m:ctrlPr>
              </m:sup>
              <m:e>
                <m:sSub>
                  <m:sSubPr>
                    <m:ctrlPr>
                      <w:rPr>
                        <w:rFonts w:ascii="Cambria Math" w:hAnsi="Cambria Math"/>
                        <w:i/>
                        <w:szCs w:val="21"/>
                      </w:rPr>
                    </m:ctrlPr>
                  </m:sSubPr>
                  <m:e>
                    <m:r>
                      <m:rPr/>
                      <w:rPr>
                        <w:rFonts w:ascii="Cambria Math" w:hAnsi="Cambria Math"/>
                        <w:szCs w:val="21"/>
                      </w:rPr>
                      <m:t>G</m:t>
                    </m:r>
                    <m:ctrlPr>
                      <w:rPr>
                        <w:rFonts w:ascii="Cambria Math" w:hAnsi="Cambria Math"/>
                        <w:i/>
                        <w:szCs w:val="21"/>
                      </w:rPr>
                    </m:ctrlPr>
                  </m:e>
                  <m:sub>
                    <m:r>
                      <m:rPr/>
                      <w:rPr>
                        <w:rFonts w:ascii="Cambria Math" w:hAnsi="Cambria Math"/>
                        <w:szCs w:val="21"/>
                      </w:rPr>
                      <m:t>i,j</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D</m:t>
                    </m:r>
                    <m:ctrlPr>
                      <w:rPr>
                        <w:rFonts w:ascii="Cambria Math" w:hAnsi="Cambria Math"/>
                        <w:i/>
                        <w:szCs w:val="21"/>
                      </w:rPr>
                    </m:ctrlPr>
                  </m:e>
                  <m:sub>
                    <m:r>
                      <m:rPr/>
                      <w:rPr>
                        <w:rFonts w:ascii="Cambria Math" w:hAnsi="Cambria Math"/>
                        <w:szCs w:val="21"/>
                      </w:rPr>
                      <m:t>i,j</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F</m:t>
                    </m:r>
                    <m:ctrlPr>
                      <w:rPr>
                        <w:rFonts w:ascii="Cambria Math" w:hAnsi="Cambria Math"/>
                        <w:i/>
                        <w:szCs w:val="21"/>
                      </w:rPr>
                    </m:ctrlPr>
                  </m:e>
                  <m:sub>
                    <m:r>
                      <m:rPr/>
                      <w:rPr>
                        <w:rFonts w:ascii="Cambria Math" w:hAnsi="Cambria Math"/>
                        <w:szCs w:val="21"/>
                      </w:rPr>
                      <m:t>j</m:t>
                    </m:r>
                    <m:ctrlPr>
                      <w:rPr>
                        <w:rFonts w:ascii="Cambria Math" w:hAnsi="Cambria Math"/>
                        <w:i/>
                        <w:szCs w:val="21"/>
                      </w:rPr>
                    </m:ctrlPr>
                  </m:sub>
                </m:sSub>
                <m:ctrlPr>
                  <w:rPr>
                    <w:rFonts w:ascii="Cambria Math" w:hAnsi="Cambria Math"/>
                    <w:i/>
                    <w:szCs w:val="21"/>
                  </w:rPr>
                </m:ctrlPr>
              </m:e>
            </m:nary>
            <m:ctrlPr>
              <w:rPr>
                <w:rFonts w:ascii="Cambria Math" w:hAnsi="Cambria Math"/>
                <w:i/>
                <w:szCs w:val="21"/>
              </w:rPr>
            </m:ctrlPr>
          </m:e>
        </m:nary>
        <m:r>
          <m:rPr/>
          <w:rPr>
            <w:rFonts w:ascii="Cambria Math" w:hAnsi="Cambria Math"/>
            <w:szCs w:val="21"/>
          </w:rPr>
          <m:t>/1000</m:t>
        </m:r>
      </m:oMath>
      <w:r>
        <w:t xml:space="preserve">                                         （8）</w:t>
      </w:r>
    </w:p>
    <w:p w14:paraId="6005449B">
      <w:pPr>
        <w:ind w:firstLine="420" w:firstLineChars="200"/>
        <w:jc w:val="left"/>
        <w:rPr>
          <w:i/>
          <w:szCs w:val="21"/>
        </w:rPr>
      </w:pPr>
      <w:r>
        <w:t>式中：</w:t>
      </w:r>
    </w:p>
    <w:p w14:paraId="591CA1B4">
      <w:pPr>
        <w:spacing w:line="360" w:lineRule="auto"/>
        <w:ind w:firstLine="420" w:firstLineChars="200"/>
        <w:rPr>
          <w:szCs w:val="21"/>
        </w:rPr>
      </w:pPr>
      <m:oMath>
        <m:sSub>
          <m:sSubPr>
            <m:ctrlPr>
              <w:rPr>
                <w:rFonts w:ascii="Cambria Math" w:hAnsi="Cambria Math"/>
                <w:i/>
                <w:szCs w:val="21"/>
              </w:rPr>
            </m:ctrlPr>
          </m:sSubPr>
          <m:e>
            <m:r>
              <m:rPr/>
              <w:rPr>
                <w:rFonts w:ascii="Cambria Math" w:hAnsi="Cambria Math"/>
                <w:szCs w:val="21"/>
              </w:rPr>
              <m:t>G</m:t>
            </m:r>
            <m:ctrlPr>
              <w:rPr>
                <w:rFonts w:ascii="Cambria Math" w:hAnsi="Cambria Math"/>
                <w:i/>
                <w:szCs w:val="21"/>
              </w:rPr>
            </m:ctrlPr>
          </m:e>
          <m:sub>
            <m:r>
              <m:rPr/>
              <w:rPr>
                <w:rFonts w:ascii="Cambria Math" w:hAnsi="Cambria Math"/>
                <w:szCs w:val="21"/>
              </w:rPr>
              <m:t>i,j</m:t>
            </m:r>
            <m:ctrlPr>
              <w:rPr>
                <w:rFonts w:ascii="Cambria Math" w:hAnsi="Cambria Math"/>
                <w:i/>
                <w:szCs w:val="21"/>
              </w:rPr>
            </m:ctrlPr>
          </m:sub>
        </m:sSub>
      </m:oMath>
      <w:r>
        <w:rPr>
          <w:szCs w:val="21"/>
        </w:rPr>
        <w:t>——第 j 种运输方式的第i种暖通空调及净化设备的单位重量，</w:t>
      </w:r>
      <w:r>
        <w:rPr>
          <w:rFonts w:hint="eastAsia"/>
          <w:szCs w:val="21"/>
        </w:rPr>
        <w:t>单位为吨每单位（</w:t>
      </w:r>
      <w:r>
        <w:rPr>
          <w:szCs w:val="21"/>
        </w:rPr>
        <w:t>t/单位</w:t>
      </w:r>
      <w:r>
        <w:rPr>
          <w:rFonts w:hint="eastAsia"/>
          <w:szCs w:val="21"/>
        </w:rPr>
        <w:t>）</w:t>
      </w:r>
      <w:r>
        <w:rPr>
          <w:szCs w:val="21"/>
        </w:rPr>
        <w:t>；</w:t>
      </w:r>
    </w:p>
    <w:p w14:paraId="3A745B65">
      <w:pPr>
        <w:spacing w:line="360" w:lineRule="auto"/>
        <w:ind w:firstLine="420" w:firstLineChars="200"/>
        <w:rPr>
          <w:szCs w:val="21"/>
        </w:rPr>
      </w:pPr>
      <m:oMath>
        <m:sSub>
          <m:sSubPr>
            <m:ctrlPr>
              <w:rPr>
                <w:rFonts w:ascii="Cambria Math" w:hAnsi="Cambria Math"/>
                <w:i/>
                <w:szCs w:val="21"/>
              </w:rPr>
            </m:ctrlPr>
          </m:sSubPr>
          <m:e>
            <m:r>
              <m:rPr/>
              <w:rPr>
                <w:rFonts w:ascii="Cambria Math" w:hAnsi="Cambria Math"/>
                <w:szCs w:val="21"/>
              </w:rPr>
              <m:t>D</m:t>
            </m:r>
            <m:ctrlPr>
              <w:rPr>
                <w:rFonts w:ascii="Cambria Math" w:hAnsi="Cambria Math"/>
                <w:i/>
                <w:szCs w:val="21"/>
              </w:rPr>
            </m:ctrlPr>
          </m:e>
          <m:sub>
            <m:r>
              <m:rPr/>
              <w:rPr>
                <w:rFonts w:ascii="Cambria Math" w:hAnsi="Cambria Math"/>
                <w:szCs w:val="21"/>
              </w:rPr>
              <m:t>i,j</m:t>
            </m:r>
            <m:ctrlPr>
              <w:rPr>
                <w:rFonts w:ascii="Cambria Math" w:hAnsi="Cambria Math"/>
                <w:i/>
                <w:szCs w:val="21"/>
              </w:rPr>
            </m:ctrlPr>
          </m:sub>
        </m:sSub>
      </m:oMath>
      <w:r>
        <w:rPr>
          <w:szCs w:val="21"/>
        </w:rPr>
        <w:t>——第 i 种暖通空调及净化设备第 j 种运输方式的运输距离，</w:t>
      </w:r>
      <w:r>
        <w:rPr>
          <w:rFonts w:hint="eastAsia"/>
          <w:szCs w:val="21"/>
        </w:rPr>
        <w:t>单位为千米（</w:t>
      </w:r>
      <w:r>
        <w:rPr>
          <w:szCs w:val="21"/>
        </w:rPr>
        <w:t>km</w:t>
      </w:r>
      <w:r>
        <w:rPr>
          <w:rFonts w:hint="eastAsia"/>
          <w:szCs w:val="21"/>
        </w:rPr>
        <w:t>）</w:t>
      </w:r>
      <w:r>
        <w:rPr>
          <w:szCs w:val="21"/>
        </w:rPr>
        <w:t xml:space="preserve">； </w:t>
      </w:r>
    </w:p>
    <w:p w14:paraId="4C63BBE8">
      <w:pPr>
        <w:spacing w:line="360" w:lineRule="auto"/>
        <w:ind w:firstLine="420" w:firstLineChars="200"/>
        <w:rPr>
          <w:szCs w:val="21"/>
        </w:rPr>
      </w:pPr>
      <m:oMath>
        <m:sSub>
          <m:sSubPr>
            <m:ctrlPr>
              <w:rPr>
                <w:rFonts w:ascii="Cambria Math" w:hAnsi="Cambria Math"/>
                <w:i/>
                <w:szCs w:val="21"/>
              </w:rPr>
            </m:ctrlPr>
          </m:sSubPr>
          <m:e>
            <m:r>
              <m:rPr/>
              <w:rPr>
                <w:rFonts w:ascii="Cambria Math" w:hAnsi="Cambria Math"/>
                <w:szCs w:val="21"/>
              </w:rPr>
              <m:t>F</m:t>
            </m:r>
            <m:ctrlPr>
              <w:rPr>
                <w:rFonts w:ascii="Cambria Math" w:hAnsi="Cambria Math"/>
                <w:i/>
                <w:szCs w:val="21"/>
              </w:rPr>
            </m:ctrlPr>
          </m:e>
          <m:sub>
            <m:r>
              <m:rPr/>
              <w:rPr>
                <w:rFonts w:ascii="Cambria Math" w:hAnsi="Cambria Math"/>
                <w:szCs w:val="21"/>
              </w:rPr>
              <m:t>j</m:t>
            </m:r>
            <m:ctrlPr>
              <w:rPr>
                <w:rFonts w:ascii="Cambria Math" w:hAnsi="Cambria Math"/>
                <w:i/>
                <w:szCs w:val="21"/>
              </w:rPr>
            </m:ctrlPr>
          </m:sub>
        </m:sSub>
      </m:oMath>
      <w:r>
        <w:rPr>
          <w:szCs w:val="21"/>
        </w:rPr>
        <w:t>——不同运输模式的</w:t>
      </w:r>
      <w:r>
        <w:t>温室气体排放</w:t>
      </w:r>
      <w:r>
        <w:rPr>
          <w:szCs w:val="21"/>
        </w:rPr>
        <w:t>因子，</w:t>
      </w:r>
      <w:r>
        <w:t>单位为千克二氧化碳当量每</w:t>
      </w:r>
      <w:r>
        <w:rPr>
          <w:rFonts w:hint="eastAsia"/>
        </w:rPr>
        <w:t>吨每千米（</w:t>
      </w:r>
      <w:r>
        <w:rPr>
          <w:szCs w:val="21"/>
        </w:rPr>
        <w:t>kgCO</w:t>
      </w:r>
      <w:r>
        <w:rPr>
          <w:szCs w:val="21"/>
          <w:vertAlign w:val="subscript"/>
        </w:rPr>
        <w:t>2</w:t>
      </w:r>
      <w:r>
        <w:rPr>
          <w:szCs w:val="21"/>
        </w:rPr>
        <w:t>e/</w:t>
      </w:r>
      <w:r>
        <w:rPr>
          <w:rFonts w:hint="eastAsia"/>
          <w:szCs w:val="21"/>
        </w:rPr>
        <w:t>（</w:t>
      </w:r>
      <w:r>
        <w:rPr>
          <w:szCs w:val="21"/>
        </w:rPr>
        <w:t>t·km</w:t>
      </w:r>
      <w:r>
        <w:rPr>
          <w:rFonts w:hint="eastAsia"/>
          <w:szCs w:val="21"/>
        </w:rPr>
        <w:t>））</w:t>
      </w:r>
      <w:r>
        <w:rPr>
          <w:szCs w:val="21"/>
        </w:rPr>
        <w:t>。</w:t>
      </w:r>
    </w:p>
    <w:p w14:paraId="292C92F7">
      <w:pPr>
        <w:spacing w:before="156" w:beforeLines="50" w:after="156" w:afterLines="50" w:line="360" w:lineRule="auto"/>
        <w:rPr>
          <w:rFonts w:eastAsia="黑体"/>
        </w:rPr>
      </w:pPr>
      <w:r>
        <w:t>7.5</w:t>
      </w:r>
      <w:r>
        <w:rPr>
          <w:rFonts w:eastAsia="黑体"/>
        </w:rPr>
        <w:t>使用阶段的温室气体排放</w:t>
      </w:r>
    </w:p>
    <w:p w14:paraId="53AB70C8">
      <w:pPr>
        <w:spacing w:line="360" w:lineRule="auto"/>
      </w:pPr>
      <w:r>
        <w:t>7.5.1 使用阶段安装过程的碳足迹应根据安装过程消耗的电量和电力排放因子计算得到。</w:t>
      </w:r>
    </w:p>
    <w:p w14:paraId="2E0EE5D9">
      <w:pPr>
        <w:spacing w:line="360" w:lineRule="auto"/>
      </w:pPr>
      <w:r>
        <w:t>7.5.2 使用阶段使用过程的碳足迹应按式（9）计算</w:t>
      </w:r>
      <w:r>
        <w:rPr>
          <w:rFonts w:hint="eastAsia"/>
        </w:rPr>
        <w:t>：</w:t>
      </w:r>
    </w:p>
    <w:p w14:paraId="0C9480B0">
      <w:pPr>
        <w:spacing w:line="360" w:lineRule="auto"/>
        <w:jc w:val="right"/>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Op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e</m:t>
            </m:r>
            <m:ctrlPr>
              <w:rPr>
                <w:rFonts w:ascii="Cambria Math" w:hAnsi="Cambria Math"/>
                <w:i/>
              </w:rPr>
            </m:ctrlPr>
          </m:sub>
        </m:sSub>
        <m:r>
          <m:rPr/>
          <w:rPr>
            <w:rFonts w:ascii="Cambria Math" w:hAnsi="Cambria Math"/>
          </w:rPr>
          <m:t>×n</m:t>
        </m:r>
      </m:oMath>
      <w:r>
        <w:rPr>
          <w:kern w:val="0"/>
          <w:szCs w:val="20"/>
        </w:rPr>
        <w:t xml:space="preserve">                                                        </w:t>
      </w:r>
      <w:r>
        <w:t>（9）</w:t>
      </w:r>
    </w:p>
    <w:p w14:paraId="3819A506">
      <w:pPr>
        <w:pStyle w:val="28"/>
        <w:spacing w:line="360" w:lineRule="auto"/>
        <w:rPr>
          <w:rFonts w:ascii="Times New Roman"/>
        </w:rPr>
      </w:pPr>
      <w:r>
        <w:rPr>
          <w:rFonts w:ascii="Times New Roman"/>
        </w:rPr>
        <w:t>式中：</w:t>
      </w:r>
    </w:p>
    <w:p w14:paraId="4ADC9CCA">
      <w:pPr>
        <w:pStyle w:val="28"/>
        <w:spacing w:line="360" w:lineRule="auto"/>
        <w:ind w:firstLineChars="0"/>
        <w:rPr>
          <w:rFonts w:ascii="Times New Roman"/>
        </w:rPr>
      </w:pPr>
      <m:oMath>
        <m:sSub>
          <m:sSubPr>
            <m:ctrlPr>
              <w:rPr>
                <w:rFonts w:ascii="Cambria Math" w:hAnsi="Cambria Math"/>
                <w:i/>
                <w:kern w:val="2"/>
                <w:szCs w:val="24"/>
              </w:rPr>
            </m:ctrlPr>
          </m:sSubPr>
          <m:e>
            <m:r>
              <m:rPr/>
              <w:rPr>
                <w:rFonts w:ascii="Cambria Math" w:hAnsi="Cambria Math"/>
              </w:rPr>
              <m:t>CF</m:t>
            </m:r>
            <m:ctrlPr>
              <w:rPr>
                <w:rFonts w:ascii="Cambria Math" w:hAnsi="Cambria Math"/>
                <w:i/>
                <w:kern w:val="2"/>
                <w:szCs w:val="24"/>
              </w:rPr>
            </m:ctrlPr>
          </m:e>
          <m:sub>
            <m:r>
              <m:rPr/>
              <w:rPr>
                <w:rFonts w:ascii="Cambria Math" w:hAnsi="Cambria Math"/>
              </w:rPr>
              <m:t>Op</m:t>
            </m:r>
            <m:ctrlPr>
              <w:rPr>
                <w:rFonts w:ascii="Cambria Math" w:hAnsi="Cambria Math"/>
                <w:i/>
                <w:kern w:val="2"/>
                <w:szCs w:val="24"/>
              </w:rPr>
            </m:ctrlPr>
          </m:sub>
        </m:sSub>
      </m:oMath>
      <w:r>
        <w:rPr>
          <w:rFonts w:ascii="Times New Roman"/>
        </w:rPr>
        <w:t>——暖通空调及净化设备</w:t>
      </w:r>
      <w:r>
        <w:rPr>
          <w:rFonts w:ascii="Times New Roman"/>
          <w:kern w:val="2"/>
          <w:szCs w:val="24"/>
        </w:rPr>
        <w:t>在使用年限内使用阶段使用过程的碳足迹，</w:t>
      </w:r>
      <w:r>
        <w:t>单位为千克二氧化碳当量每单位</w:t>
      </w:r>
      <w:r>
        <w:rPr>
          <w:rFonts w:hint="eastAsia"/>
        </w:rPr>
        <w:t>（</w:t>
      </w:r>
      <w:r>
        <w:rPr>
          <w:rFonts w:ascii="Times New Roman"/>
        </w:rPr>
        <w:t>kgCO</w:t>
      </w:r>
      <w:r>
        <w:rPr>
          <w:rFonts w:ascii="Times New Roman"/>
          <w:vertAlign w:val="subscript"/>
        </w:rPr>
        <w:t>2</w:t>
      </w:r>
      <w:r>
        <w:rPr>
          <w:rFonts w:ascii="Times New Roman"/>
        </w:rPr>
        <w:t>e/单位</w:t>
      </w:r>
      <w:r>
        <w:rPr>
          <w:rFonts w:hint="eastAsia" w:ascii="Times New Roman"/>
        </w:rPr>
        <w:t>）</w:t>
      </w:r>
      <w:r>
        <w:rPr>
          <w:rFonts w:ascii="Times New Roman"/>
        </w:rPr>
        <w:t>；</w:t>
      </w:r>
    </w:p>
    <w:p w14:paraId="69438C52">
      <w:pPr>
        <w:pStyle w:val="28"/>
        <w:spacing w:line="360" w:lineRule="auto"/>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n</m:t>
            </m:r>
            <m:ctrlPr>
              <w:rPr>
                <w:rFonts w:ascii="Cambria Math" w:hAnsi="Cambria Math"/>
                <w:i/>
              </w:rPr>
            </m:ctrlPr>
          </m:sub>
        </m:sSub>
      </m:oMath>
      <w:r>
        <w:rPr>
          <w:rFonts w:ascii="Times New Roman"/>
        </w:rPr>
        <w:t>——单位暖通空调及净化设备在标准使用情景下每年消耗电力的电量，可由设备功率及年运行时间计算得到，</w:t>
      </w:r>
      <w:r>
        <w:rPr>
          <w:rFonts w:hint="eastAsia" w:ascii="Times New Roman"/>
        </w:rPr>
        <w:t>单位为千瓦时每单位（</w:t>
      </w:r>
      <w:r>
        <w:rPr>
          <w:rFonts w:ascii="Times New Roman"/>
        </w:rPr>
        <w:t>kWh/单位</w:t>
      </w:r>
      <w:r>
        <w:rPr>
          <w:rFonts w:hint="eastAsia" w:ascii="Times New Roman"/>
        </w:rPr>
        <w:t>）</w:t>
      </w:r>
      <w:r>
        <w:rPr>
          <w:rFonts w:ascii="Times New Roman"/>
        </w:rPr>
        <w:t>；</w:t>
      </w:r>
    </w:p>
    <w:p w14:paraId="79E664E0">
      <w:pPr>
        <w:pStyle w:val="28"/>
        <w:spacing w:line="360" w:lineRule="auto"/>
        <w:rPr>
          <w:rFonts w:ascii="Times New Roman"/>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e</m:t>
            </m:r>
            <m:ctrlPr>
              <w:rPr>
                <w:rFonts w:ascii="Cambria Math" w:hAnsi="Cambria Math"/>
                <w:i/>
              </w:rPr>
            </m:ctrlPr>
          </m:sub>
        </m:sSub>
      </m:oMath>
      <w:r>
        <w:rPr>
          <w:rFonts w:ascii="Times New Roman"/>
        </w:rPr>
        <w:t>——电力温室气体排放因子，</w:t>
      </w:r>
      <w:r>
        <w:t>单位为千克二氧化碳当量每</w:t>
      </w:r>
      <w:r>
        <w:rPr>
          <w:rFonts w:hint="eastAsia"/>
        </w:rPr>
        <w:t>千瓦时（</w:t>
      </w:r>
      <w:r>
        <w:rPr>
          <w:rFonts w:ascii="Times New Roman"/>
        </w:rPr>
        <w:t>kgCO</w:t>
      </w:r>
      <w:r>
        <w:rPr>
          <w:rFonts w:ascii="Times New Roman"/>
          <w:vertAlign w:val="subscript"/>
        </w:rPr>
        <w:t>2</w:t>
      </w:r>
      <w:r>
        <w:rPr>
          <w:rFonts w:ascii="Times New Roman"/>
        </w:rPr>
        <w:t>e/kWh</w:t>
      </w:r>
      <w:r>
        <w:rPr>
          <w:rFonts w:hint="eastAsia" w:ascii="Times New Roman"/>
        </w:rPr>
        <w:t>）</w:t>
      </w:r>
      <w:r>
        <w:rPr>
          <w:rFonts w:ascii="Times New Roman"/>
        </w:rPr>
        <w:t xml:space="preserve">； </w:t>
      </w:r>
    </w:p>
    <w:p w14:paraId="78AB97A0">
      <w:pPr>
        <w:pStyle w:val="28"/>
        <w:spacing w:line="360" w:lineRule="auto"/>
        <w:ind w:firstLineChars="0"/>
        <w:rPr>
          <w:rFonts w:ascii="Times New Roman"/>
          <w:kern w:val="2"/>
          <w:szCs w:val="24"/>
        </w:rPr>
      </w:pPr>
      <m:oMath>
        <m:r>
          <m:rPr/>
          <w:rPr>
            <w:rFonts w:ascii="Cambria Math" w:hAnsi="Cambria Math"/>
          </w:rPr>
          <m:t>n</m:t>
        </m:r>
      </m:oMath>
      <w:r>
        <w:rPr>
          <w:rFonts w:ascii="Times New Roman"/>
        </w:rPr>
        <w:t>——暖通空调及净化设备</w:t>
      </w:r>
      <w:r>
        <w:rPr>
          <w:rFonts w:ascii="Times New Roman"/>
          <w:kern w:val="2"/>
          <w:szCs w:val="24"/>
        </w:rPr>
        <w:t>的使用寿命。</w:t>
      </w:r>
    </w:p>
    <w:p w14:paraId="5E246879">
      <w:pPr>
        <w:spacing w:line="360" w:lineRule="auto"/>
        <w:jc w:val="left"/>
      </w:pPr>
      <w:r>
        <w:t>7.5.3 使用阶段维护保养过程的碳足迹应按式（10）计算</w:t>
      </w:r>
      <w:r>
        <w:rPr>
          <w:rFonts w:hint="eastAsia"/>
        </w:rPr>
        <w:t>：</w:t>
      </w:r>
    </w:p>
    <w:p w14:paraId="6D9A84B2">
      <w:pPr>
        <w:spacing w:line="360" w:lineRule="auto"/>
        <w:jc w:val="right"/>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m:t>
            </m:r>
            <m:ctrlPr>
              <w:rPr>
                <w:rFonts w:ascii="Cambria Math" w:hAnsi="Cambria Math"/>
                <w:i/>
              </w:rPr>
            </m:ctrlPr>
          </m:sub>
        </m:sSub>
      </m:oMath>
      <w:r>
        <w:t xml:space="preserve">                                                        （10）</w:t>
      </w:r>
    </w:p>
    <w:p w14:paraId="03D9F1B0">
      <w:pPr>
        <w:spacing w:line="360" w:lineRule="auto"/>
        <w:ind w:firstLine="420" w:firstLineChars="200"/>
        <w:rPr>
          <w:kern w:val="0"/>
          <w:szCs w:val="20"/>
        </w:rPr>
      </w:pPr>
      <w:r>
        <w:rPr>
          <w:kern w:val="0"/>
          <w:szCs w:val="20"/>
        </w:rPr>
        <w:t>式中：</w:t>
      </w:r>
    </w:p>
    <w:p w14:paraId="424ABA5A">
      <w:pPr>
        <w:spacing w:line="360" w:lineRule="auto"/>
        <w:ind w:firstLine="420" w:firstLineChars="200"/>
        <w:rPr>
          <w:kern w:val="0"/>
          <w:szCs w:val="20"/>
        </w:rPr>
      </w:pPr>
      <m:oMath>
        <m:sSub>
          <m:sSubPr>
            <m:ctrlPr>
              <w:rPr>
                <w:rFonts w:ascii="Cambria Math" w:hAnsi="Cambria Math"/>
                <w:i/>
              </w:rPr>
            </m:ctrlPr>
          </m:sSubPr>
          <m:e>
            <m:r>
              <m:rPr/>
              <w:rPr>
                <w:rFonts w:ascii="Cambria Math" w:hAnsi="Cambria Math"/>
              </w:rPr>
              <m:t>CF</m:t>
            </m:r>
            <m:ctrlPr>
              <w:rPr>
                <w:rFonts w:ascii="Cambria Math" w:hAnsi="Cambria Math"/>
                <w:i/>
              </w:rPr>
            </m:ctrlPr>
          </m:e>
          <m:sub>
            <m:r>
              <m:rPr/>
              <w:rPr>
                <w:rFonts w:ascii="Cambria Math" w:hAnsi="Cambria Math"/>
              </w:rPr>
              <m:t>m</m:t>
            </m:r>
            <m:ctrlPr>
              <w:rPr>
                <w:rFonts w:ascii="Cambria Math" w:hAnsi="Cambria Math"/>
                <w:i/>
              </w:rPr>
            </m:ctrlPr>
          </m:sub>
        </m:sSub>
      </m:oMath>
      <w:r>
        <w:t>——暖通空调及净化设备在使用阶段维护保养的碳足迹，单位为千克二氧化碳当量每单位</w:t>
      </w:r>
      <w:r>
        <w:rPr>
          <w:rFonts w:hint="eastAsia"/>
        </w:rPr>
        <w:t>（</w:t>
      </w:r>
      <w:r>
        <w:t>kgCO</w:t>
      </w:r>
      <w:r>
        <w:rPr>
          <w:vertAlign w:val="subscript"/>
        </w:rPr>
        <w:t>2</w:t>
      </w:r>
      <w:r>
        <w:t>e/单位</w:t>
      </w:r>
      <w:r>
        <w:rPr>
          <w:rFonts w:hint="eastAsia"/>
        </w:rPr>
        <w:t>）</w:t>
      </w:r>
      <w:r>
        <w:t>；</w:t>
      </w:r>
    </w:p>
    <w:p w14:paraId="7E71094D">
      <w:pPr>
        <w:spacing w:line="360" w:lineRule="auto"/>
        <w:ind w:firstLine="420" w:firstLineChars="200"/>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i</m:t>
            </m:r>
            <m:ctrlPr>
              <w:rPr>
                <w:rFonts w:ascii="Cambria Math" w:hAnsi="Cambria Math"/>
                <w:i/>
              </w:rPr>
            </m:ctrlPr>
          </m:sub>
        </m:sSub>
      </m:oMath>
      <w:r>
        <w:t>——暖通空调及净化设备在安全使用年限内的每年维护次数；终端消费产品每年维护次数可取产品使用说明中的规定、相关标准规定或者相关国家规定。</w:t>
      </w:r>
    </w:p>
    <w:p w14:paraId="5C8CBC14">
      <w:pPr>
        <w:spacing w:line="360" w:lineRule="auto"/>
        <w:ind w:firstLine="420" w:firstLineChars="200"/>
        <w:rPr>
          <w:kern w:val="0"/>
          <w:szCs w:val="20"/>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m:t>
            </m:r>
            <m:ctrlPr>
              <w:rPr>
                <w:rFonts w:ascii="Cambria Math" w:hAnsi="Cambria Math"/>
                <w:i/>
              </w:rPr>
            </m:ctrlPr>
          </m:sub>
        </m:sSub>
      </m:oMath>
      <w:r>
        <w:t>——每次维护保养的碳足迹，单位为千克二氧化碳当量每单位</w:t>
      </w:r>
      <w:r>
        <w:rPr>
          <w:rFonts w:hint="eastAsia"/>
        </w:rPr>
        <w:t>（</w:t>
      </w:r>
      <w:r>
        <w:t xml:space="preserve"> kgCO</w:t>
      </w:r>
      <w:r>
        <w:rPr>
          <w:vertAlign w:val="subscript"/>
        </w:rPr>
        <w:t>2</w:t>
      </w:r>
      <w:r>
        <w:t>e/单位</w:t>
      </w:r>
      <w:r>
        <w:rPr>
          <w:rFonts w:hint="eastAsia"/>
        </w:rPr>
        <w:t>）</w:t>
      </w:r>
      <w:r>
        <w:t>。</w:t>
      </w:r>
    </w:p>
    <w:p w14:paraId="5D6A5D84">
      <w:pPr>
        <w:spacing w:before="156" w:beforeLines="50" w:after="156" w:afterLines="50" w:line="360" w:lineRule="auto"/>
        <w:rPr>
          <w:rFonts w:eastAsia="黑体"/>
        </w:rPr>
      </w:pPr>
      <w:r>
        <w:rPr>
          <w:rFonts w:eastAsia="黑体"/>
        </w:rPr>
        <w:t>7.6生命末期阶段的温室气体排放</w:t>
      </w:r>
    </w:p>
    <w:p w14:paraId="54927F52">
      <w:pPr>
        <w:spacing w:line="360" w:lineRule="auto"/>
      </w:pPr>
      <w:r>
        <w:t>7.6.1生命末期阶段碳足迹计算不计算回收材料本身的碳排放量，应计算材料回收方式产生的碳排放量以及废弃材料处理产生的碳排放量。</w:t>
      </w:r>
    </w:p>
    <w:p w14:paraId="132B5BFC">
      <w:pPr>
        <w:spacing w:line="360" w:lineRule="auto"/>
      </w:pPr>
      <w:r>
        <w:t>7.6.2 生命末期阶段的碳足迹应按式（11）计算</w:t>
      </w:r>
      <w:r>
        <w:rPr>
          <w:rFonts w:hint="eastAsia"/>
        </w:rPr>
        <w:t>：</w:t>
      </w:r>
    </w:p>
    <w:p w14:paraId="01749B4E">
      <w:pPr>
        <w:spacing w:line="360" w:lineRule="auto"/>
        <w:jc w:val="right"/>
      </w:pPr>
      <m:oMath>
        <m:sSub>
          <m:sSubPr>
            <m:ctrlPr>
              <w:rPr>
                <w:rFonts w:ascii="Cambria Math" w:hAnsi="Cambria Math"/>
                <w:i/>
                <w:kern w:val="0"/>
                <w:szCs w:val="20"/>
              </w:rPr>
            </m:ctrlPr>
          </m:sSubPr>
          <m:e>
            <m:r>
              <m:rPr/>
              <w:rPr>
                <w:rFonts w:ascii="Cambria Math" w:hAnsi="Cambria Math"/>
              </w:rPr>
              <m:t>C</m:t>
            </m:r>
            <m:ctrlPr>
              <w:rPr>
                <w:rFonts w:ascii="Cambria Math" w:hAnsi="Cambria Math"/>
                <w:i/>
                <w:kern w:val="0"/>
                <w:szCs w:val="20"/>
              </w:rPr>
            </m:ctrlPr>
          </m:e>
          <m:sub>
            <m:r>
              <m:rPr/>
              <w:rPr>
                <w:rFonts w:ascii="Cambria Math" w:hAnsi="Cambria Math"/>
              </w:rPr>
              <m:t>mr</m:t>
            </m:r>
            <m:ctrlPr>
              <w:rPr>
                <w:rFonts w:ascii="Cambria Math" w:hAnsi="Cambria Math"/>
                <w:i/>
                <w:kern w:val="0"/>
                <w:szCs w:val="20"/>
              </w:rPr>
            </m:ctrlPr>
          </m:sub>
        </m:sSub>
        <m:r>
          <m:rPr/>
          <w:rPr>
            <w:rFonts w:ascii="Cambria Math" w:hAnsi="Cambria Math"/>
          </w:rPr>
          <m:t>=</m:t>
        </m:r>
        <m:nary>
          <m:naryPr>
            <m:chr m:val="∑"/>
            <m:limLoc m:val="undOvr"/>
            <m:subHide m:val="1"/>
            <m:supHide m:val="1"/>
            <m:ctrlPr>
              <w:rPr>
                <w:rFonts w:ascii="Cambria Math" w:hAnsi="Cambria Math"/>
                <w:i/>
                <w:kern w:val="0"/>
                <w:szCs w:val="20"/>
              </w:rPr>
            </m:ctrlPr>
          </m:naryPr>
          <m:sub>
            <m:ctrlPr>
              <w:rPr>
                <w:rFonts w:ascii="Cambria Math" w:hAnsi="Cambria Math"/>
                <w:i/>
                <w:kern w:val="0"/>
                <w:szCs w:val="20"/>
              </w:rPr>
            </m:ctrlPr>
          </m:sub>
          <m:sup>
            <m:ctrlPr>
              <w:rPr>
                <w:rFonts w:ascii="Cambria Math" w:hAnsi="Cambria Math"/>
                <w:i/>
                <w:kern w:val="0"/>
                <w:szCs w:val="20"/>
              </w:rPr>
            </m:ctrlPr>
          </m:sup>
          <m:e>
            <m:sSub>
              <m:sSubPr>
                <m:ctrlPr>
                  <w:rPr>
                    <w:rFonts w:ascii="Cambria Math" w:hAnsi="Cambria Math"/>
                    <w:i/>
                    <w:kern w:val="0"/>
                    <w:szCs w:val="20"/>
                  </w:rPr>
                </m:ctrlPr>
              </m:sSubPr>
              <m:e>
                <m:r>
                  <m:rPr/>
                  <w:rPr>
                    <w:rFonts w:ascii="Cambria Math" w:hAnsi="Cambria Math"/>
                  </w:rPr>
                  <m:t>M</m:t>
                </m:r>
                <m:ctrlPr>
                  <w:rPr>
                    <w:rFonts w:ascii="Cambria Math" w:hAnsi="Cambria Math"/>
                    <w:i/>
                    <w:kern w:val="0"/>
                    <w:szCs w:val="20"/>
                  </w:rPr>
                </m:ctrlPr>
              </m:e>
              <m:sub>
                <m:r>
                  <m:rPr/>
                  <w:rPr>
                    <w:rFonts w:ascii="Cambria Math" w:hAnsi="Cambria Math"/>
                  </w:rPr>
                  <m:t>ir</m:t>
                </m:r>
                <m:ctrlPr>
                  <w:rPr>
                    <w:rFonts w:ascii="Cambria Math" w:hAnsi="Cambria Math"/>
                    <w:i/>
                    <w:kern w:val="0"/>
                    <w:szCs w:val="20"/>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ir</m:t>
                </m:r>
                <m:ctrlPr>
                  <w:rPr>
                    <w:rFonts w:ascii="Cambria Math" w:hAnsi="Cambria Math"/>
                    <w:i/>
                  </w:rPr>
                </m:ctrlPr>
              </m:sub>
            </m:sSub>
            <m:ctrlPr>
              <w:rPr>
                <w:rFonts w:ascii="Cambria Math" w:hAnsi="Cambria Math"/>
                <w:i/>
                <w:kern w:val="0"/>
                <w:szCs w:val="20"/>
              </w:rPr>
            </m:ctrlPr>
          </m:e>
        </m:nary>
      </m:oMath>
      <w:r>
        <w:t xml:space="preserve">                                                       （11）</w:t>
      </w:r>
    </w:p>
    <w:p w14:paraId="7176C11F">
      <w:pPr>
        <w:spacing w:line="360" w:lineRule="auto"/>
        <w:jc w:val="left"/>
      </w:pPr>
      <w:r>
        <w:t>式中：</w:t>
      </w:r>
    </w:p>
    <w:p w14:paraId="4DC38EEB">
      <w:pPr>
        <w:spacing w:line="360" w:lineRule="auto"/>
        <w:ind w:firstLine="420" w:firstLineChars="200"/>
        <w:rPr>
          <w:kern w:val="0"/>
          <w:szCs w:val="20"/>
        </w:rPr>
      </w:pPr>
      <m:oMath>
        <m:sSub>
          <m:sSubPr>
            <m:ctrlPr>
              <w:rPr>
                <w:rFonts w:ascii="Cambria Math" w:hAnsi="Cambria Math"/>
                <w:i/>
                <w:kern w:val="0"/>
                <w:szCs w:val="20"/>
              </w:rPr>
            </m:ctrlPr>
          </m:sSubPr>
          <m:e>
            <m:r>
              <m:rPr/>
              <w:rPr>
                <w:rFonts w:ascii="Cambria Math" w:hAnsi="Cambria Math"/>
              </w:rPr>
              <m:t>M</m:t>
            </m:r>
            <m:ctrlPr>
              <w:rPr>
                <w:rFonts w:ascii="Cambria Math" w:hAnsi="Cambria Math"/>
                <w:i/>
                <w:kern w:val="0"/>
                <w:szCs w:val="20"/>
              </w:rPr>
            </m:ctrlPr>
          </m:e>
          <m:sub>
            <m:r>
              <m:rPr/>
              <w:rPr>
                <w:rFonts w:ascii="Cambria Math" w:hAnsi="Cambria Math"/>
              </w:rPr>
              <m:t>ir</m:t>
            </m:r>
            <m:ctrlPr>
              <w:rPr>
                <w:rFonts w:ascii="Cambria Math" w:hAnsi="Cambria Math"/>
                <w:i/>
                <w:kern w:val="0"/>
                <w:szCs w:val="20"/>
              </w:rPr>
            </m:ctrlPr>
          </m:sub>
        </m:sSub>
      </m:oMath>
      <w:r>
        <w:rPr>
          <w:kern w:val="0"/>
          <w:szCs w:val="20"/>
        </w:rPr>
        <w:t>——单位暖通空调及净化设备回收的第i种材料量或废弃第i种材料量，</w:t>
      </w:r>
      <w:r>
        <w:rPr>
          <w:rFonts w:hint="eastAsia"/>
          <w:kern w:val="0"/>
          <w:szCs w:val="20"/>
        </w:rPr>
        <w:t>单位为千克每单位（</w:t>
      </w:r>
      <w:r>
        <w:rPr>
          <w:kern w:val="0"/>
          <w:szCs w:val="20"/>
        </w:rPr>
        <w:t>kg/单位</w:t>
      </w:r>
      <w:r>
        <w:rPr>
          <w:rFonts w:hint="eastAsia"/>
          <w:kern w:val="0"/>
          <w:szCs w:val="20"/>
        </w:rPr>
        <w:t>）</w:t>
      </w:r>
      <w:r>
        <w:rPr>
          <w:kern w:val="0"/>
          <w:szCs w:val="20"/>
        </w:rPr>
        <w:t>；可回收材料的回收利用率可参照GB/T 32886-2016选取。</w:t>
      </w:r>
    </w:p>
    <w:p w14:paraId="624E9C6B">
      <w:pPr>
        <w:spacing w:line="360" w:lineRule="auto"/>
        <w:ind w:firstLine="420" w:firstLineChars="200"/>
        <w:rPr>
          <w:kern w:val="0"/>
          <w:szCs w:val="20"/>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ir</m:t>
            </m:r>
            <m:ctrlPr>
              <w:rPr>
                <w:rFonts w:ascii="Cambria Math" w:hAnsi="Cambria Math"/>
                <w:i/>
              </w:rPr>
            </m:ctrlPr>
          </m:sub>
        </m:sSub>
      </m:oMath>
      <w:r>
        <w:t>——回收处理或废弃处理第i种材料的碳排放因子，单位为千克二氧化碳当量每</w:t>
      </w:r>
      <w:r>
        <w:rPr>
          <w:rFonts w:hint="eastAsia"/>
        </w:rPr>
        <w:t>千克（</w:t>
      </w:r>
      <w:r>
        <w:t>kgCO</w:t>
      </w:r>
      <w:r>
        <w:rPr>
          <w:vertAlign w:val="subscript"/>
        </w:rPr>
        <w:t>2</w:t>
      </w:r>
      <w:r>
        <w:t>e/kg</w:t>
      </w:r>
      <w:r>
        <w:rPr>
          <w:rFonts w:hint="eastAsia"/>
        </w:rPr>
        <w:t>）</w:t>
      </w:r>
      <w:r>
        <w:t>，可按具体的处理方式确定。</w:t>
      </w:r>
    </w:p>
    <w:p w14:paraId="3ECD2147">
      <w:pPr>
        <w:pStyle w:val="2"/>
        <w:keepNext w:val="0"/>
        <w:keepLines w:val="0"/>
        <w:spacing w:before="312" w:beforeLines="100" w:after="312" w:afterLines="100" w:line="240" w:lineRule="auto"/>
        <w:rPr>
          <w:rFonts w:eastAsia="黑体"/>
          <w:bCs w:val="0"/>
          <w:kern w:val="2"/>
          <w:sz w:val="21"/>
          <w:szCs w:val="21"/>
        </w:rPr>
      </w:pPr>
      <w:bookmarkStart w:id="42" w:name="_Toc211864628"/>
      <w:r>
        <w:rPr>
          <w:rFonts w:eastAsia="黑体"/>
          <w:bCs w:val="0"/>
          <w:kern w:val="2"/>
          <w:sz w:val="21"/>
          <w:szCs w:val="21"/>
        </w:rPr>
        <w:t>8 产品碳足迹结果解释</w:t>
      </w:r>
      <w:bookmarkEnd w:id="42"/>
    </w:p>
    <w:p w14:paraId="5E827D67">
      <w:pPr>
        <w:spacing w:line="360" w:lineRule="auto"/>
        <w:rPr>
          <w:kern w:val="0"/>
          <w:szCs w:val="20"/>
        </w:rPr>
      </w:pPr>
      <w:r>
        <w:rPr>
          <w:kern w:val="0"/>
          <w:szCs w:val="20"/>
        </w:rPr>
        <w:t xml:space="preserve">8.1暖通空调及净化设备产品碳足迹研究的生命周期结果解释阶段应包括以下步骤： </w:t>
      </w:r>
    </w:p>
    <w:p w14:paraId="4F11C5BD">
      <w:pPr>
        <w:spacing w:line="360" w:lineRule="auto"/>
        <w:ind w:firstLine="420" w:firstLineChars="200"/>
        <w:rPr>
          <w:kern w:val="0"/>
          <w:szCs w:val="20"/>
        </w:rPr>
      </w:pPr>
      <w:r>
        <w:rPr>
          <w:kern w:val="0"/>
          <w:szCs w:val="20"/>
        </w:rPr>
        <w:t>a） 根据生命周期清单分析和生命周期影响评价的暖通空调及净化设备碳足迹的量化结果，识别显著环节（可包括生命周期阶段、单元过程或流程）；</w:t>
      </w:r>
    </w:p>
    <w:p w14:paraId="77DBBE05">
      <w:pPr>
        <w:spacing w:line="360" w:lineRule="auto"/>
        <w:ind w:firstLine="420" w:firstLineChars="200"/>
        <w:rPr>
          <w:kern w:val="0"/>
          <w:szCs w:val="20"/>
        </w:rPr>
      </w:pPr>
      <w:r>
        <w:rPr>
          <w:kern w:val="0"/>
          <w:szCs w:val="20"/>
        </w:rPr>
        <w:t xml:space="preserve">b） 完整性、一致性和敏感性分析的评估； </w:t>
      </w:r>
    </w:p>
    <w:p w14:paraId="4415C844">
      <w:pPr>
        <w:spacing w:line="360" w:lineRule="auto"/>
        <w:ind w:firstLine="420" w:firstLineChars="200"/>
        <w:rPr>
          <w:kern w:val="0"/>
          <w:szCs w:val="20"/>
        </w:rPr>
      </w:pPr>
      <w:r>
        <w:rPr>
          <w:kern w:val="0"/>
          <w:szCs w:val="20"/>
        </w:rPr>
        <w:t xml:space="preserve">c） 结论、局限性和建议的编制。 </w:t>
      </w:r>
    </w:p>
    <w:p w14:paraId="12B0BBB0">
      <w:pPr>
        <w:spacing w:line="360" w:lineRule="auto"/>
        <w:rPr>
          <w:kern w:val="0"/>
          <w:szCs w:val="20"/>
        </w:rPr>
      </w:pPr>
      <w:r>
        <w:rPr>
          <w:kern w:val="0"/>
          <w:szCs w:val="20"/>
        </w:rPr>
        <w:t>8.2 按照暖通空调及净化设备产品碳足迹研究的目的和范围，对产品碳足迹影响评价的量化结果进行解释，解释应包括以下内容：</w:t>
      </w:r>
    </w:p>
    <w:p w14:paraId="211D0064">
      <w:pPr>
        <w:spacing w:line="360" w:lineRule="auto"/>
        <w:ind w:firstLine="420" w:firstLineChars="200"/>
        <w:rPr>
          <w:kern w:val="0"/>
          <w:szCs w:val="20"/>
        </w:rPr>
      </w:pPr>
      <w:r>
        <w:rPr>
          <w:kern w:val="0"/>
          <w:szCs w:val="20"/>
        </w:rPr>
        <w:t xml:space="preserve">a）说明暖通空调及净化设备产品碳足迹和各阶段碳足迹； </w:t>
      </w:r>
    </w:p>
    <w:p w14:paraId="2FC6D588">
      <w:pPr>
        <w:spacing w:line="360" w:lineRule="auto"/>
        <w:ind w:firstLine="420" w:firstLineChars="200"/>
        <w:rPr>
          <w:kern w:val="0"/>
          <w:szCs w:val="20"/>
        </w:rPr>
      </w:pPr>
      <w:r>
        <w:rPr>
          <w:kern w:val="0"/>
          <w:szCs w:val="20"/>
        </w:rPr>
        <w:t>b）非终端消费产品类暖通空调及净化设备应明确关键性能参数，如冷（热）量、风量、水量、阻力等。</w:t>
      </w:r>
    </w:p>
    <w:p w14:paraId="70A4D1AB">
      <w:pPr>
        <w:spacing w:line="360" w:lineRule="auto"/>
        <w:ind w:firstLine="420" w:firstLineChars="200"/>
        <w:rPr>
          <w:kern w:val="0"/>
          <w:szCs w:val="20"/>
        </w:rPr>
      </w:pPr>
      <w:r>
        <w:rPr>
          <w:kern w:val="0"/>
          <w:szCs w:val="20"/>
        </w:rPr>
        <w:t>c）分析不确定性，包括取舍准则的应用或范围；</w:t>
      </w:r>
    </w:p>
    <w:p w14:paraId="7E0C890D">
      <w:pPr>
        <w:spacing w:line="360" w:lineRule="auto"/>
        <w:ind w:firstLine="420" w:firstLineChars="200"/>
        <w:rPr>
          <w:kern w:val="0"/>
          <w:szCs w:val="20"/>
        </w:rPr>
      </w:pPr>
      <w:r>
        <w:rPr>
          <w:kern w:val="0"/>
          <w:szCs w:val="20"/>
        </w:rPr>
        <w:t xml:space="preserve">d）详细记录选定的分配程序； </w:t>
      </w:r>
    </w:p>
    <w:p w14:paraId="41F2A259">
      <w:pPr>
        <w:spacing w:line="360" w:lineRule="auto"/>
        <w:ind w:firstLine="420" w:firstLineChars="200"/>
        <w:rPr>
          <w:kern w:val="0"/>
          <w:szCs w:val="20"/>
        </w:rPr>
      </w:pPr>
      <w:r>
        <w:rPr>
          <w:kern w:val="0"/>
          <w:szCs w:val="20"/>
        </w:rPr>
        <w:t xml:space="preserve">e）说明暖通空调及净化设备产品碳足迹研究的局限性。 </w:t>
      </w:r>
    </w:p>
    <w:p w14:paraId="59F6D81E">
      <w:pPr>
        <w:pStyle w:val="2"/>
        <w:keepNext w:val="0"/>
        <w:keepLines w:val="0"/>
        <w:spacing w:before="312" w:beforeLines="100" w:after="312" w:afterLines="100" w:line="240" w:lineRule="auto"/>
        <w:rPr>
          <w:rFonts w:eastAsia="黑体"/>
          <w:bCs w:val="0"/>
          <w:kern w:val="2"/>
          <w:sz w:val="21"/>
          <w:szCs w:val="21"/>
        </w:rPr>
      </w:pPr>
      <w:bookmarkStart w:id="43" w:name="_Toc211864629"/>
      <w:r>
        <w:rPr>
          <w:rFonts w:eastAsia="黑体"/>
          <w:bCs w:val="0"/>
          <w:kern w:val="2"/>
          <w:sz w:val="21"/>
          <w:szCs w:val="21"/>
        </w:rPr>
        <w:t>9 产品碳足迹报告</w:t>
      </w:r>
      <w:bookmarkEnd w:id="43"/>
    </w:p>
    <w:p w14:paraId="6DCDD9BA">
      <w:pPr>
        <w:pStyle w:val="28"/>
        <w:spacing w:line="336" w:lineRule="auto"/>
        <w:rPr>
          <w:rFonts w:ascii="Times New Roman"/>
        </w:rPr>
      </w:pPr>
      <w:r>
        <w:rPr>
          <w:rFonts w:ascii="Times New Roman"/>
        </w:rPr>
        <w:t>暖通空调及净化设备碳足迹报告应包括但不限于下列内容（报告参考格式见附录D）。</w:t>
      </w:r>
    </w:p>
    <w:p w14:paraId="0D26A4D1">
      <w:pPr>
        <w:pStyle w:val="28"/>
        <w:spacing w:line="336" w:lineRule="auto"/>
        <w:rPr>
          <w:rFonts w:ascii="Times New Roman"/>
        </w:rPr>
      </w:pPr>
      <w:r>
        <w:rPr>
          <w:rFonts w:ascii="Times New Roman"/>
        </w:rPr>
        <w:t>a）基本情况：</w:t>
      </w:r>
    </w:p>
    <w:p w14:paraId="1E8D9D4D">
      <w:pPr>
        <w:pStyle w:val="28"/>
        <w:spacing w:line="336" w:lineRule="auto"/>
        <w:ind w:firstLine="630" w:firstLineChars="300"/>
        <w:rPr>
          <w:rFonts w:ascii="Times New Roman"/>
        </w:rPr>
      </w:pPr>
      <w:r>
        <w:rPr>
          <w:rFonts w:ascii="Times New Roman"/>
        </w:rPr>
        <w:t>1）委托方与评价方信息；</w:t>
      </w:r>
    </w:p>
    <w:p w14:paraId="39D84F5E">
      <w:pPr>
        <w:pStyle w:val="28"/>
        <w:spacing w:line="336" w:lineRule="auto"/>
        <w:ind w:firstLine="630" w:firstLineChars="300"/>
        <w:rPr>
          <w:rFonts w:ascii="Times New Roman"/>
        </w:rPr>
      </w:pPr>
      <w:r>
        <w:rPr>
          <w:rFonts w:ascii="Times New Roman"/>
        </w:rPr>
        <w:t>2）报告信息；</w:t>
      </w:r>
    </w:p>
    <w:p w14:paraId="3A698C0F">
      <w:pPr>
        <w:pStyle w:val="28"/>
        <w:spacing w:line="336" w:lineRule="auto"/>
        <w:ind w:firstLine="630" w:firstLineChars="300"/>
        <w:rPr>
          <w:rFonts w:ascii="Times New Roman"/>
        </w:rPr>
      </w:pPr>
      <w:r>
        <w:rPr>
          <w:rFonts w:ascii="Times New Roman"/>
        </w:rPr>
        <w:t>3）依据的标准。</w:t>
      </w:r>
    </w:p>
    <w:p w14:paraId="7E2EFD27">
      <w:pPr>
        <w:pStyle w:val="28"/>
        <w:spacing w:line="336" w:lineRule="auto"/>
        <w:rPr>
          <w:rFonts w:ascii="Times New Roman"/>
        </w:rPr>
      </w:pPr>
      <w:r>
        <w:rPr>
          <w:rFonts w:ascii="Times New Roman"/>
        </w:rPr>
        <w:t>b）量化目的：</w:t>
      </w:r>
    </w:p>
    <w:p w14:paraId="6BB2BBF9">
      <w:pPr>
        <w:pStyle w:val="28"/>
        <w:spacing w:line="336" w:lineRule="auto"/>
        <w:ind w:firstLine="630" w:firstLineChars="300"/>
        <w:rPr>
          <w:rFonts w:ascii="Times New Roman"/>
        </w:rPr>
      </w:pPr>
      <w:r>
        <w:rPr>
          <w:rFonts w:ascii="Times New Roman"/>
        </w:rPr>
        <w:t>1）开展研究的目的；</w:t>
      </w:r>
    </w:p>
    <w:p w14:paraId="42E23492">
      <w:pPr>
        <w:pStyle w:val="28"/>
        <w:spacing w:line="336" w:lineRule="auto"/>
        <w:ind w:firstLine="630" w:firstLineChars="300"/>
        <w:rPr>
          <w:rFonts w:ascii="Times New Roman"/>
        </w:rPr>
      </w:pPr>
      <w:r>
        <w:rPr>
          <w:rFonts w:ascii="Times New Roman"/>
        </w:rPr>
        <w:t>2）预期用途。</w:t>
      </w:r>
    </w:p>
    <w:p w14:paraId="7B079B47">
      <w:pPr>
        <w:pStyle w:val="28"/>
        <w:spacing w:line="336" w:lineRule="auto"/>
        <w:rPr>
          <w:rFonts w:ascii="Times New Roman"/>
        </w:rPr>
      </w:pPr>
      <w:r>
        <w:rPr>
          <w:rFonts w:ascii="Times New Roman"/>
        </w:rPr>
        <w:t>c）量化范围：</w:t>
      </w:r>
    </w:p>
    <w:p w14:paraId="6DDCF59E">
      <w:pPr>
        <w:pStyle w:val="28"/>
        <w:spacing w:line="336" w:lineRule="auto"/>
        <w:ind w:firstLine="630" w:firstLineChars="300"/>
        <w:rPr>
          <w:rFonts w:ascii="Times New Roman"/>
        </w:rPr>
      </w:pPr>
      <w:r>
        <w:rPr>
          <w:rFonts w:ascii="Times New Roman"/>
        </w:rPr>
        <w:t>1）产品名称、规格、型号和功能描述；</w:t>
      </w:r>
    </w:p>
    <w:p w14:paraId="50C78DEE">
      <w:pPr>
        <w:pStyle w:val="28"/>
        <w:spacing w:line="336" w:lineRule="auto"/>
        <w:ind w:firstLine="630" w:firstLineChars="300"/>
        <w:rPr>
          <w:rFonts w:ascii="Times New Roman"/>
        </w:rPr>
      </w:pPr>
      <w:r>
        <w:rPr>
          <w:rFonts w:ascii="Times New Roman"/>
        </w:rPr>
        <w:t>2）功能单位；</w:t>
      </w:r>
    </w:p>
    <w:p w14:paraId="129CD415">
      <w:pPr>
        <w:pStyle w:val="28"/>
        <w:spacing w:line="336" w:lineRule="auto"/>
        <w:ind w:firstLine="630" w:firstLineChars="300"/>
        <w:rPr>
          <w:rFonts w:ascii="Times New Roman"/>
        </w:rPr>
      </w:pPr>
      <w:r>
        <w:rPr>
          <w:rFonts w:ascii="Times New Roman"/>
        </w:rPr>
        <w:t>3）系统边界；</w:t>
      </w:r>
    </w:p>
    <w:p w14:paraId="5BB7C617">
      <w:pPr>
        <w:pStyle w:val="28"/>
        <w:spacing w:line="336" w:lineRule="auto"/>
        <w:ind w:firstLine="630" w:firstLineChars="300"/>
        <w:rPr>
          <w:rFonts w:ascii="Times New Roman"/>
        </w:rPr>
      </w:pPr>
      <w:r>
        <w:rPr>
          <w:rFonts w:ascii="Times New Roman"/>
        </w:rPr>
        <w:t>4）生命周期各阶段描述。</w:t>
      </w:r>
    </w:p>
    <w:p w14:paraId="343753BF">
      <w:pPr>
        <w:pStyle w:val="28"/>
        <w:spacing w:line="336" w:lineRule="auto"/>
        <w:rPr>
          <w:rFonts w:ascii="Times New Roman"/>
        </w:rPr>
      </w:pPr>
      <w:r>
        <w:rPr>
          <w:rFonts w:ascii="Times New Roman"/>
        </w:rPr>
        <w:t>d）清单分析：</w:t>
      </w:r>
    </w:p>
    <w:p w14:paraId="499495BC">
      <w:pPr>
        <w:pStyle w:val="28"/>
        <w:spacing w:line="336" w:lineRule="auto"/>
        <w:ind w:firstLine="630" w:firstLineChars="300"/>
        <w:rPr>
          <w:rFonts w:ascii="Times New Roman"/>
        </w:rPr>
      </w:pPr>
      <w:r>
        <w:rPr>
          <w:rFonts w:ascii="Times New Roman"/>
        </w:rPr>
        <w:t>1）数据收集信息，包括数据来源；</w:t>
      </w:r>
    </w:p>
    <w:p w14:paraId="644134D9">
      <w:pPr>
        <w:pStyle w:val="28"/>
        <w:spacing w:line="336" w:lineRule="auto"/>
        <w:ind w:firstLine="630" w:firstLineChars="300"/>
        <w:rPr>
          <w:rFonts w:ascii="Times New Roman"/>
        </w:rPr>
      </w:pPr>
      <w:r>
        <w:rPr>
          <w:rFonts w:ascii="Times New Roman"/>
        </w:rPr>
        <w:t>2）重要的单元过程清单；</w:t>
      </w:r>
    </w:p>
    <w:p w14:paraId="10726550">
      <w:pPr>
        <w:pStyle w:val="28"/>
        <w:spacing w:line="336" w:lineRule="auto"/>
        <w:ind w:firstLine="630" w:firstLineChars="300"/>
        <w:rPr>
          <w:rFonts w:ascii="Times New Roman"/>
        </w:rPr>
      </w:pPr>
      <w:r>
        <w:rPr>
          <w:rFonts w:ascii="Times New Roman"/>
        </w:rPr>
        <w:t>3）纳入范围的温室气体清单；</w:t>
      </w:r>
    </w:p>
    <w:p w14:paraId="515887C3">
      <w:pPr>
        <w:pStyle w:val="28"/>
        <w:spacing w:line="336" w:lineRule="auto"/>
        <w:ind w:firstLine="630" w:firstLineChars="300"/>
        <w:rPr>
          <w:rFonts w:ascii="Times New Roman"/>
        </w:rPr>
      </w:pPr>
      <w:r>
        <w:rPr>
          <w:rFonts w:ascii="Times New Roman"/>
        </w:rPr>
        <w:t>4）温室气体排放和清除时间；</w:t>
      </w:r>
    </w:p>
    <w:p w14:paraId="349543B9">
      <w:pPr>
        <w:pStyle w:val="28"/>
        <w:spacing w:line="336" w:lineRule="auto"/>
        <w:ind w:firstLine="630" w:firstLineChars="300"/>
        <w:rPr>
          <w:rFonts w:ascii="Times New Roman"/>
        </w:rPr>
      </w:pPr>
      <w:r>
        <w:rPr>
          <w:rFonts w:ascii="Times New Roman"/>
        </w:rPr>
        <w:t>5）代表性的时间边界和地理边界；</w:t>
      </w:r>
    </w:p>
    <w:p w14:paraId="5D53D058">
      <w:pPr>
        <w:pStyle w:val="28"/>
        <w:spacing w:line="336" w:lineRule="auto"/>
        <w:ind w:firstLine="630" w:firstLineChars="300"/>
        <w:rPr>
          <w:rFonts w:ascii="Times New Roman"/>
        </w:rPr>
      </w:pPr>
      <w:r>
        <w:rPr>
          <w:rFonts w:ascii="Times New Roman"/>
        </w:rPr>
        <w:t>6）分配原则与程序；</w:t>
      </w:r>
    </w:p>
    <w:p w14:paraId="22617CA2">
      <w:pPr>
        <w:pStyle w:val="28"/>
        <w:spacing w:line="336" w:lineRule="auto"/>
        <w:ind w:firstLine="630" w:firstLineChars="300"/>
        <w:rPr>
          <w:rFonts w:ascii="Times New Roman"/>
        </w:rPr>
      </w:pPr>
      <w:r>
        <w:rPr>
          <w:rFonts w:ascii="Times New Roman"/>
        </w:rPr>
        <w:t>7）数据说明，包括有关数据的决定和数据质量评价。</w:t>
      </w:r>
    </w:p>
    <w:p w14:paraId="2B1E4BCD">
      <w:pPr>
        <w:pStyle w:val="28"/>
        <w:spacing w:line="336" w:lineRule="auto"/>
        <w:rPr>
          <w:rFonts w:ascii="Times New Roman"/>
        </w:rPr>
      </w:pPr>
      <w:r>
        <w:rPr>
          <w:rFonts w:ascii="Times New Roman"/>
        </w:rPr>
        <w:t>e）影响评价：</w:t>
      </w:r>
    </w:p>
    <w:p w14:paraId="444EB870">
      <w:pPr>
        <w:pStyle w:val="28"/>
        <w:spacing w:line="336" w:lineRule="auto"/>
        <w:rPr>
          <w:rFonts w:ascii="Times New Roman"/>
        </w:rPr>
      </w:pPr>
      <w:r>
        <w:rPr>
          <w:rFonts w:ascii="Times New Roman"/>
        </w:rPr>
        <w:t>1）影响评价方法；</w:t>
      </w:r>
    </w:p>
    <w:p w14:paraId="1B0666AC">
      <w:pPr>
        <w:pStyle w:val="28"/>
        <w:spacing w:line="336" w:lineRule="auto"/>
        <w:rPr>
          <w:rFonts w:ascii="Times New Roman"/>
        </w:rPr>
      </w:pPr>
      <w:r>
        <w:rPr>
          <w:rFonts w:ascii="Times New Roman"/>
        </w:rPr>
        <w:t>2）特征化因子；</w:t>
      </w:r>
    </w:p>
    <w:p w14:paraId="5F9DA0FC">
      <w:pPr>
        <w:pStyle w:val="28"/>
        <w:spacing w:line="336" w:lineRule="auto"/>
        <w:rPr>
          <w:rFonts w:ascii="Times New Roman"/>
        </w:rPr>
      </w:pPr>
      <w:r>
        <w:rPr>
          <w:rFonts w:ascii="Times New Roman"/>
        </w:rPr>
        <w:t>3）产品碳足迹计算。</w:t>
      </w:r>
    </w:p>
    <w:p w14:paraId="3D35CED8">
      <w:pPr>
        <w:pStyle w:val="28"/>
        <w:spacing w:line="336" w:lineRule="auto"/>
        <w:rPr>
          <w:rFonts w:ascii="Times New Roman"/>
        </w:rPr>
      </w:pPr>
      <w:r>
        <w:rPr>
          <w:rFonts w:ascii="Times New Roman"/>
        </w:rPr>
        <w:t>f）结果解释：</w:t>
      </w:r>
    </w:p>
    <w:p w14:paraId="544D1281">
      <w:pPr>
        <w:pStyle w:val="28"/>
        <w:spacing w:line="336" w:lineRule="auto"/>
        <w:rPr>
          <w:rFonts w:ascii="Times New Roman"/>
        </w:rPr>
      </w:pPr>
      <w:r>
        <w:rPr>
          <w:rFonts w:ascii="Times New Roman"/>
        </w:rPr>
        <w:t>结论和局限性。</w:t>
      </w:r>
    </w:p>
    <w:p w14:paraId="190CE210">
      <w:pPr>
        <w:pStyle w:val="28"/>
        <w:spacing w:line="336" w:lineRule="auto"/>
        <w:rPr>
          <w:rFonts w:ascii="Times New Roman"/>
        </w:rPr>
      </w:pPr>
    </w:p>
    <w:p w14:paraId="44CC2405">
      <w:pPr>
        <w:pStyle w:val="138"/>
        <w:framePr w:hSpace="0" w:vSpace="0" w:wrap="auto" w:vAnchor="margin" w:hAnchor="text" w:xAlign="left" w:yAlign="inline"/>
        <w:jc w:val="center"/>
      </w:pPr>
    </w:p>
    <w:p w14:paraId="5E47ED79">
      <w:pPr>
        <w:pStyle w:val="138"/>
        <w:framePr w:hSpace="0" w:vSpace="0" w:wrap="auto" w:vAnchor="margin" w:hAnchor="text" w:xAlign="left" w:yAlign="inline"/>
        <w:jc w:val="center"/>
      </w:pPr>
    </w:p>
    <w:p w14:paraId="373997FF">
      <w:pPr>
        <w:pStyle w:val="138"/>
        <w:framePr w:hSpace="0" w:vSpace="0" w:wrap="auto" w:vAnchor="margin" w:hAnchor="text" w:xAlign="left" w:yAlign="inline"/>
        <w:jc w:val="center"/>
      </w:pPr>
    </w:p>
    <w:p w14:paraId="26A768B2">
      <w:pPr>
        <w:pStyle w:val="138"/>
        <w:framePr w:hSpace="0" w:vSpace="0" w:wrap="auto" w:vAnchor="margin" w:hAnchor="text" w:xAlign="left" w:yAlign="inline"/>
        <w:jc w:val="center"/>
      </w:pPr>
    </w:p>
    <w:p w14:paraId="090BD2F8">
      <w:pPr>
        <w:pStyle w:val="138"/>
        <w:framePr w:hSpace="0" w:vSpace="0" w:wrap="auto" w:vAnchor="margin" w:hAnchor="text" w:xAlign="left" w:yAlign="inline"/>
        <w:jc w:val="center"/>
      </w:pPr>
    </w:p>
    <w:p w14:paraId="11791A62">
      <w:pPr>
        <w:pStyle w:val="138"/>
        <w:framePr w:hSpace="0" w:vSpace="0" w:wrap="auto" w:vAnchor="margin" w:hAnchor="text" w:xAlign="left" w:yAlign="inline"/>
        <w:jc w:val="center"/>
      </w:pPr>
    </w:p>
    <w:p w14:paraId="69839C51">
      <w:pPr>
        <w:pStyle w:val="138"/>
        <w:framePr w:hSpace="0" w:vSpace="0" w:wrap="auto" w:vAnchor="margin" w:hAnchor="text" w:xAlign="left" w:yAlign="inline"/>
        <w:jc w:val="center"/>
      </w:pPr>
    </w:p>
    <w:p w14:paraId="4D768309">
      <w:pPr>
        <w:pStyle w:val="138"/>
        <w:framePr w:hSpace="0" w:vSpace="0" w:wrap="auto" w:vAnchor="margin" w:hAnchor="text" w:xAlign="left" w:yAlign="inline"/>
        <w:jc w:val="center"/>
      </w:pPr>
    </w:p>
    <w:p w14:paraId="567F8906">
      <w:pPr>
        <w:pStyle w:val="138"/>
        <w:framePr w:hSpace="0" w:vSpace="0" w:wrap="auto" w:vAnchor="margin" w:hAnchor="text" w:xAlign="left" w:yAlign="inline"/>
        <w:jc w:val="center"/>
      </w:pPr>
    </w:p>
    <w:p w14:paraId="4360BC27">
      <w:pPr>
        <w:pStyle w:val="138"/>
        <w:framePr w:hSpace="0" w:vSpace="0" w:wrap="auto" w:vAnchor="margin" w:hAnchor="text" w:xAlign="left" w:yAlign="inline"/>
        <w:jc w:val="center"/>
      </w:pPr>
    </w:p>
    <w:p w14:paraId="4B70F681">
      <w:pPr>
        <w:pStyle w:val="138"/>
        <w:framePr w:hSpace="0" w:vSpace="0" w:wrap="auto" w:vAnchor="margin" w:hAnchor="text" w:xAlign="left" w:yAlign="inline"/>
        <w:jc w:val="center"/>
      </w:pPr>
    </w:p>
    <w:p w14:paraId="6829A4FE">
      <w:pPr>
        <w:pStyle w:val="138"/>
        <w:framePr w:hSpace="0" w:vSpace="0" w:wrap="auto" w:vAnchor="margin" w:hAnchor="text" w:xAlign="left" w:yAlign="inline"/>
        <w:jc w:val="center"/>
      </w:pPr>
    </w:p>
    <w:p w14:paraId="6F9E9E5C">
      <w:pPr>
        <w:pStyle w:val="138"/>
        <w:framePr w:hSpace="0" w:vSpace="0" w:wrap="auto" w:vAnchor="margin" w:hAnchor="text" w:xAlign="left" w:yAlign="inline"/>
        <w:jc w:val="center"/>
      </w:pPr>
    </w:p>
    <w:p w14:paraId="0917963A">
      <w:pPr>
        <w:pStyle w:val="138"/>
        <w:framePr w:hSpace="0" w:vSpace="0" w:wrap="auto" w:vAnchor="margin" w:hAnchor="text" w:xAlign="left" w:yAlign="inline"/>
        <w:jc w:val="center"/>
      </w:pPr>
    </w:p>
    <w:p w14:paraId="16D97CD6">
      <w:pPr>
        <w:pStyle w:val="138"/>
        <w:framePr w:hSpace="0" w:vSpace="0" w:wrap="auto" w:vAnchor="margin" w:hAnchor="text" w:xAlign="left" w:yAlign="inline"/>
        <w:jc w:val="center"/>
      </w:pPr>
    </w:p>
    <w:p w14:paraId="2480878B">
      <w:pPr>
        <w:pStyle w:val="138"/>
        <w:framePr w:hSpace="0" w:vSpace="0" w:wrap="auto" w:vAnchor="margin" w:hAnchor="text" w:xAlign="left" w:yAlign="inline"/>
        <w:jc w:val="center"/>
      </w:pPr>
    </w:p>
    <w:p w14:paraId="3A4C1A99">
      <w:pPr>
        <w:pStyle w:val="138"/>
        <w:framePr w:hSpace="0" w:vSpace="0" w:wrap="auto" w:vAnchor="margin" w:hAnchor="text" w:xAlign="left" w:yAlign="inline"/>
        <w:jc w:val="center"/>
      </w:pPr>
    </w:p>
    <w:p w14:paraId="20B87FFF">
      <w:pPr>
        <w:pStyle w:val="138"/>
        <w:framePr w:hSpace="0" w:vSpace="0" w:wrap="auto" w:vAnchor="margin" w:hAnchor="text" w:xAlign="left" w:yAlign="inline"/>
        <w:jc w:val="center"/>
      </w:pPr>
    </w:p>
    <w:p w14:paraId="35074AE5">
      <w:pPr>
        <w:pStyle w:val="138"/>
        <w:framePr w:hSpace="0" w:vSpace="0" w:wrap="auto" w:vAnchor="margin" w:hAnchor="text" w:xAlign="left" w:yAlign="inline"/>
        <w:jc w:val="center"/>
      </w:pPr>
    </w:p>
    <w:p w14:paraId="34BD0B4A">
      <w:pPr>
        <w:pStyle w:val="138"/>
        <w:framePr w:hSpace="0" w:vSpace="0" w:wrap="auto" w:vAnchor="margin" w:hAnchor="text" w:xAlign="left" w:yAlign="inline"/>
        <w:jc w:val="center"/>
      </w:pPr>
    </w:p>
    <w:p w14:paraId="2B6F8744">
      <w:pPr>
        <w:pStyle w:val="138"/>
        <w:framePr w:hSpace="0" w:vSpace="0" w:wrap="auto" w:vAnchor="margin" w:hAnchor="text" w:xAlign="left" w:yAlign="inline"/>
        <w:jc w:val="center"/>
      </w:pPr>
    </w:p>
    <w:p w14:paraId="048F3155">
      <w:pPr>
        <w:pStyle w:val="138"/>
        <w:framePr w:hSpace="0" w:vSpace="0" w:wrap="auto" w:vAnchor="margin" w:hAnchor="text" w:xAlign="left" w:yAlign="inline"/>
        <w:jc w:val="center"/>
      </w:pPr>
    </w:p>
    <w:p w14:paraId="05B43564">
      <w:pPr>
        <w:pStyle w:val="138"/>
        <w:framePr w:hSpace="0" w:vSpace="0" w:wrap="auto" w:vAnchor="margin" w:hAnchor="text" w:xAlign="left" w:yAlign="inline"/>
        <w:jc w:val="center"/>
      </w:pPr>
    </w:p>
    <w:p w14:paraId="3D9DFD7F">
      <w:pPr>
        <w:pStyle w:val="138"/>
        <w:framePr w:hSpace="0" w:vSpace="0" w:wrap="auto" w:vAnchor="margin" w:hAnchor="text" w:xAlign="left" w:yAlign="inline"/>
        <w:jc w:val="center"/>
      </w:pPr>
    </w:p>
    <w:p w14:paraId="43D8017D">
      <w:pPr>
        <w:pStyle w:val="138"/>
        <w:framePr w:hSpace="0" w:vSpace="0" w:wrap="auto" w:vAnchor="margin" w:hAnchor="text" w:xAlign="left" w:yAlign="inline"/>
        <w:jc w:val="center"/>
      </w:pPr>
    </w:p>
    <w:p w14:paraId="3CAF4AC8">
      <w:pPr>
        <w:pStyle w:val="138"/>
        <w:framePr w:hSpace="0" w:vSpace="0" w:wrap="auto" w:vAnchor="margin" w:hAnchor="text" w:xAlign="left" w:yAlign="inline"/>
        <w:jc w:val="center"/>
      </w:pPr>
    </w:p>
    <w:p w14:paraId="6D95875E">
      <w:pPr>
        <w:pStyle w:val="138"/>
        <w:framePr w:hSpace="0" w:vSpace="0" w:wrap="auto" w:vAnchor="margin" w:hAnchor="text" w:xAlign="left" w:yAlign="inline"/>
        <w:jc w:val="center"/>
      </w:pPr>
    </w:p>
    <w:p w14:paraId="576ACD27">
      <w:pPr>
        <w:pStyle w:val="138"/>
        <w:framePr w:hSpace="0" w:vSpace="0" w:wrap="auto" w:vAnchor="margin" w:hAnchor="text" w:xAlign="left" w:yAlign="inline"/>
        <w:jc w:val="center"/>
      </w:pPr>
    </w:p>
    <w:p w14:paraId="6E699BBA">
      <w:pPr>
        <w:pStyle w:val="138"/>
        <w:framePr w:hSpace="0" w:vSpace="0" w:wrap="auto" w:vAnchor="margin" w:hAnchor="text" w:xAlign="left" w:yAlign="inline"/>
        <w:jc w:val="center"/>
      </w:pPr>
    </w:p>
    <w:p w14:paraId="563B01E7">
      <w:pPr>
        <w:pStyle w:val="138"/>
        <w:framePr w:hSpace="0" w:vSpace="0" w:wrap="auto" w:vAnchor="margin" w:hAnchor="text" w:xAlign="left" w:yAlign="inline"/>
        <w:jc w:val="center"/>
      </w:pPr>
    </w:p>
    <w:p w14:paraId="0A0EC90F">
      <w:pPr>
        <w:pStyle w:val="138"/>
        <w:framePr w:hSpace="0" w:vSpace="0" w:wrap="auto" w:vAnchor="margin" w:hAnchor="text" w:xAlign="left" w:yAlign="inline"/>
        <w:jc w:val="center"/>
      </w:pPr>
    </w:p>
    <w:p w14:paraId="5965E514">
      <w:pPr>
        <w:pStyle w:val="53"/>
        <w:numPr>
          <w:ilvl w:val="0"/>
          <w:numId w:val="0"/>
        </w:numPr>
        <w:spacing w:beforeLines="0" w:afterLines="0" w:line="360" w:lineRule="auto"/>
        <w:jc w:val="center"/>
        <w:rPr>
          <w:rFonts w:ascii="Times New Roman"/>
        </w:rPr>
      </w:pPr>
      <w:bookmarkStart w:id="44" w:name="_Toc211864630"/>
      <w:r>
        <w:rPr>
          <w:rFonts w:ascii="Times New Roman"/>
        </w:rPr>
        <w:t>附录A</w:t>
      </w:r>
      <w:r>
        <w:rPr>
          <w:rFonts w:ascii="Times New Roman"/>
        </w:rPr>
        <w:br w:type="textWrapping"/>
      </w:r>
      <w:r>
        <w:rPr>
          <w:rFonts w:ascii="Times New Roman"/>
        </w:rPr>
        <w:t>（</w:t>
      </w:r>
      <w:r>
        <w:rPr>
          <w:rFonts w:hint="eastAsia" w:ascii="Times New Roman"/>
        </w:rPr>
        <w:t>资料性</w:t>
      </w:r>
      <w:r>
        <w:rPr>
          <w:rFonts w:ascii="Times New Roman"/>
        </w:rPr>
        <w:t>）</w:t>
      </w:r>
      <w:r>
        <w:rPr>
          <w:rFonts w:ascii="Times New Roman"/>
        </w:rPr>
        <w:br w:type="textWrapping"/>
      </w:r>
      <w:r>
        <w:rPr>
          <w:rFonts w:hint="eastAsia" w:ascii="Times New Roman"/>
        </w:rPr>
        <w:t>暖通空调及净化设备产品碳足迹量化数据收集表</w:t>
      </w:r>
      <w:bookmarkEnd w:id="44"/>
    </w:p>
    <w:p w14:paraId="23227FE7">
      <w:pPr>
        <w:spacing w:line="360" w:lineRule="auto"/>
        <w:ind w:firstLine="420" w:firstLineChars="200"/>
        <w:jc w:val="left"/>
        <w:rPr>
          <w:kern w:val="0"/>
          <w:szCs w:val="20"/>
        </w:rPr>
      </w:pPr>
    </w:p>
    <w:p w14:paraId="28602118">
      <w:pPr>
        <w:spacing w:line="360" w:lineRule="auto"/>
        <w:ind w:firstLine="420" w:firstLineChars="200"/>
        <w:jc w:val="left"/>
        <w:rPr>
          <w:kern w:val="0"/>
          <w:szCs w:val="20"/>
        </w:rPr>
      </w:pPr>
      <w:r>
        <w:rPr>
          <w:kern w:val="0"/>
          <w:szCs w:val="20"/>
        </w:rPr>
        <w:t>暖通空调及净化设备产品分类框架如表A.1所示。</w:t>
      </w:r>
    </w:p>
    <w:p w14:paraId="40ED6524">
      <w:pPr>
        <w:spacing w:line="360" w:lineRule="auto"/>
        <w:ind w:left="420" w:leftChars="200"/>
        <w:jc w:val="center"/>
        <w:rPr>
          <w:rFonts w:eastAsia="黑体"/>
          <w:kern w:val="0"/>
          <w:szCs w:val="20"/>
        </w:rPr>
      </w:pPr>
      <w:r>
        <w:rPr>
          <w:rFonts w:eastAsia="黑体"/>
          <w:kern w:val="0"/>
          <w:szCs w:val="20"/>
        </w:rPr>
        <w:t>表A.1  暖通空调及净化设备产品分类框架</w:t>
      </w:r>
    </w:p>
    <w:tbl>
      <w:tblPr>
        <w:tblStyle w:val="40"/>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1842"/>
        <w:gridCol w:w="1134"/>
        <w:gridCol w:w="4820"/>
      </w:tblGrid>
      <w:tr w14:paraId="4F21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555" w:type="dxa"/>
            <w:vMerge w:val="restart"/>
            <w:vAlign w:val="center"/>
          </w:tcPr>
          <w:p w14:paraId="4A752FD7">
            <w:pPr>
              <w:pStyle w:val="28"/>
              <w:spacing w:line="360" w:lineRule="auto"/>
              <w:ind w:firstLine="0" w:firstLineChars="0"/>
              <w:rPr>
                <w:rFonts w:ascii="Times New Roman"/>
                <w:b/>
                <w:bCs/>
                <w:szCs w:val="18"/>
              </w:rPr>
            </w:pPr>
            <w:r>
              <w:rPr>
                <w:rFonts w:ascii="Times New Roman"/>
                <w:b/>
                <w:bCs/>
                <w:szCs w:val="18"/>
              </w:rPr>
              <w:t>暖通空调及净化设备产品</w:t>
            </w:r>
          </w:p>
        </w:tc>
        <w:tc>
          <w:tcPr>
            <w:tcW w:w="2976" w:type="dxa"/>
            <w:gridSpan w:val="2"/>
            <w:tcBorders>
              <w:right w:val="single" w:color="auto" w:sz="4" w:space="0"/>
            </w:tcBorders>
            <w:vAlign w:val="center"/>
          </w:tcPr>
          <w:p w14:paraId="262AB30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分类</w:t>
            </w:r>
          </w:p>
        </w:tc>
        <w:tc>
          <w:tcPr>
            <w:tcW w:w="4820" w:type="dxa"/>
            <w:tcBorders>
              <w:left w:val="single" w:color="auto" w:sz="4" w:space="0"/>
            </w:tcBorders>
          </w:tcPr>
          <w:p w14:paraId="12E74521">
            <w:pPr>
              <w:pStyle w:val="28"/>
              <w:spacing w:line="360" w:lineRule="auto"/>
              <w:ind w:firstLine="422"/>
              <w:jc w:val="center"/>
              <w:rPr>
                <w:rFonts w:ascii="Times New Roman"/>
                <w:b/>
                <w:bCs/>
                <w:szCs w:val="18"/>
              </w:rPr>
            </w:pPr>
            <w:r>
              <w:rPr>
                <w:rFonts w:ascii="Times New Roman"/>
                <w:b/>
                <w:bCs/>
                <w:szCs w:val="18"/>
              </w:rPr>
              <w:t>产品类型</w:t>
            </w:r>
          </w:p>
        </w:tc>
      </w:tr>
      <w:tr w14:paraId="3047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5C48C20C">
            <w:pPr>
              <w:pStyle w:val="28"/>
              <w:tabs>
                <w:tab w:val="clear" w:pos="4201"/>
                <w:tab w:val="clear" w:pos="9298"/>
              </w:tabs>
              <w:spacing w:line="360" w:lineRule="auto"/>
              <w:ind w:firstLine="0" w:firstLineChars="0"/>
              <w:jc w:val="center"/>
              <w:rPr>
                <w:rFonts w:ascii="Times New Roman"/>
                <w:b/>
                <w:bCs/>
                <w:szCs w:val="18"/>
              </w:rPr>
            </w:pPr>
          </w:p>
        </w:tc>
        <w:tc>
          <w:tcPr>
            <w:tcW w:w="1842" w:type="dxa"/>
            <w:vMerge w:val="restart"/>
            <w:vAlign w:val="center"/>
          </w:tcPr>
          <w:p w14:paraId="084240BC">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终端消费产品</w:t>
            </w:r>
          </w:p>
        </w:tc>
        <w:tc>
          <w:tcPr>
            <w:tcW w:w="1134" w:type="dxa"/>
            <w:tcBorders>
              <w:right w:val="single" w:color="auto" w:sz="4" w:space="0"/>
            </w:tcBorders>
            <w:vAlign w:val="center"/>
          </w:tcPr>
          <w:p w14:paraId="70BA25C4">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供暖产品</w:t>
            </w:r>
          </w:p>
        </w:tc>
        <w:tc>
          <w:tcPr>
            <w:tcW w:w="4820" w:type="dxa"/>
            <w:tcBorders>
              <w:left w:val="single" w:color="auto" w:sz="4" w:space="0"/>
            </w:tcBorders>
            <w:vAlign w:val="center"/>
          </w:tcPr>
          <w:p w14:paraId="04132A90">
            <w:pPr>
              <w:pStyle w:val="28"/>
              <w:tabs>
                <w:tab w:val="clear" w:pos="4201"/>
                <w:tab w:val="clear" w:pos="9298"/>
              </w:tabs>
              <w:spacing w:line="360" w:lineRule="auto"/>
              <w:ind w:firstLine="0" w:firstLineChars="0"/>
              <w:rPr>
                <w:rFonts w:ascii="Times New Roman"/>
                <w:szCs w:val="18"/>
              </w:rPr>
            </w:pPr>
            <w:r>
              <w:rPr>
                <w:rFonts w:ascii="Times New Roman"/>
                <w:szCs w:val="18"/>
              </w:rPr>
              <w:t xml:space="preserve">建筑用电供暖散热器、发热电缆或电热膜、其他 </w:t>
            </w:r>
          </w:p>
        </w:tc>
      </w:tr>
      <w:tr w14:paraId="4CBC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1C82E1B9">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641A4AA6">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5FAEB757">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通风产品</w:t>
            </w:r>
          </w:p>
        </w:tc>
        <w:tc>
          <w:tcPr>
            <w:tcW w:w="4820" w:type="dxa"/>
            <w:tcBorders>
              <w:left w:val="single" w:color="auto" w:sz="4" w:space="0"/>
            </w:tcBorders>
            <w:vAlign w:val="center"/>
          </w:tcPr>
          <w:p w14:paraId="145EC5B3">
            <w:pPr>
              <w:pStyle w:val="28"/>
              <w:tabs>
                <w:tab w:val="clear" w:pos="4201"/>
                <w:tab w:val="clear" w:pos="9298"/>
              </w:tabs>
              <w:spacing w:line="360" w:lineRule="auto"/>
              <w:ind w:firstLine="0" w:firstLineChars="0"/>
              <w:rPr>
                <w:rFonts w:ascii="Times New Roman"/>
                <w:szCs w:val="18"/>
              </w:rPr>
            </w:pPr>
            <w:r>
              <w:rPr>
                <w:rFonts w:ascii="Times New Roman"/>
                <w:szCs w:val="18"/>
              </w:rPr>
              <w:t>墙式通风器、窗式通风器、其他</w:t>
            </w:r>
          </w:p>
        </w:tc>
      </w:tr>
      <w:tr w14:paraId="3CDD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4D3B57C4">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78A2E20D">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1BC7037D">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空调产品</w:t>
            </w:r>
          </w:p>
        </w:tc>
        <w:tc>
          <w:tcPr>
            <w:tcW w:w="4820" w:type="dxa"/>
            <w:tcBorders>
              <w:left w:val="single" w:color="auto" w:sz="4" w:space="0"/>
            </w:tcBorders>
            <w:vAlign w:val="center"/>
          </w:tcPr>
          <w:p w14:paraId="2DE2C044">
            <w:pPr>
              <w:pStyle w:val="28"/>
              <w:tabs>
                <w:tab w:val="clear" w:pos="4201"/>
                <w:tab w:val="clear" w:pos="9298"/>
              </w:tabs>
              <w:spacing w:line="360" w:lineRule="auto"/>
              <w:ind w:firstLine="0" w:firstLineChars="0"/>
              <w:rPr>
                <w:rFonts w:ascii="Times New Roman"/>
                <w:szCs w:val="18"/>
              </w:rPr>
            </w:pPr>
            <w:r>
              <w:rPr>
                <w:rFonts w:ascii="Times New Roman"/>
                <w:szCs w:val="18"/>
              </w:rPr>
              <w:t>工业或商用加湿器、除湿机、其他</w:t>
            </w:r>
          </w:p>
        </w:tc>
      </w:tr>
      <w:tr w14:paraId="0906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57C60B94">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63B722ED">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03C3C919">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净化产品</w:t>
            </w:r>
          </w:p>
        </w:tc>
        <w:tc>
          <w:tcPr>
            <w:tcW w:w="4820" w:type="dxa"/>
            <w:tcBorders>
              <w:left w:val="single" w:color="auto" w:sz="4" w:space="0"/>
            </w:tcBorders>
            <w:vAlign w:val="center"/>
          </w:tcPr>
          <w:p w14:paraId="32BD88A3">
            <w:pPr>
              <w:pStyle w:val="28"/>
              <w:tabs>
                <w:tab w:val="clear" w:pos="4201"/>
                <w:tab w:val="clear" w:pos="9298"/>
              </w:tabs>
              <w:spacing w:line="360" w:lineRule="auto"/>
              <w:ind w:firstLine="0" w:firstLineChars="0"/>
              <w:rPr>
                <w:rFonts w:ascii="Times New Roman"/>
                <w:szCs w:val="18"/>
              </w:rPr>
            </w:pPr>
            <w:r>
              <w:rPr>
                <w:rFonts w:ascii="Times New Roman"/>
                <w:szCs w:val="18"/>
              </w:rPr>
              <w:t>洁净工作台、生物安全柜、风机过滤单元、其他</w:t>
            </w:r>
          </w:p>
        </w:tc>
      </w:tr>
      <w:tr w14:paraId="356F9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4A27C4BD">
            <w:pPr>
              <w:pStyle w:val="28"/>
              <w:tabs>
                <w:tab w:val="clear" w:pos="4201"/>
                <w:tab w:val="clear" w:pos="9298"/>
              </w:tabs>
              <w:spacing w:line="360" w:lineRule="auto"/>
              <w:ind w:firstLine="0" w:firstLineChars="0"/>
              <w:jc w:val="center"/>
              <w:rPr>
                <w:rFonts w:ascii="Times New Roman"/>
                <w:b/>
                <w:bCs/>
                <w:szCs w:val="18"/>
              </w:rPr>
            </w:pPr>
          </w:p>
        </w:tc>
        <w:tc>
          <w:tcPr>
            <w:tcW w:w="1842" w:type="dxa"/>
            <w:vMerge w:val="restart"/>
            <w:vAlign w:val="center"/>
          </w:tcPr>
          <w:p w14:paraId="65A10AA5">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非终端消费产品</w:t>
            </w:r>
          </w:p>
        </w:tc>
        <w:tc>
          <w:tcPr>
            <w:tcW w:w="1134" w:type="dxa"/>
            <w:tcBorders>
              <w:right w:val="single" w:color="auto" w:sz="4" w:space="0"/>
            </w:tcBorders>
            <w:vAlign w:val="center"/>
          </w:tcPr>
          <w:p w14:paraId="6E22504D">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供暖产品</w:t>
            </w:r>
          </w:p>
        </w:tc>
        <w:tc>
          <w:tcPr>
            <w:tcW w:w="4820" w:type="dxa"/>
            <w:tcBorders>
              <w:left w:val="single" w:color="auto" w:sz="4" w:space="0"/>
            </w:tcBorders>
            <w:vAlign w:val="center"/>
          </w:tcPr>
          <w:p w14:paraId="3FBEF90A">
            <w:pPr>
              <w:pStyle w:val="28"/>
              <w:tabs>
                <w:tab w:val="clear" w:pos="4201"/>
                <w:tab w:val="clear" w:pos="9298"/>
              </w:tabs>
              <w:spacing w:line="360" w:lineRule="auto"/>
              <w:ind w:firstLine="0" w:firstLineChars="0"/>
              <w:rPr>
                <w:rFonts w:ascii="Times New Roman"/>
                <w:szCs w:val="18"/>
              </w:rPr>
            </w:pPr>
            <w:r>
              <w:rPr>
                <w:rFonts w:ascii="Times New Roman"/>
                <w:szCs w:val="18"/>
              </w:rPr>
              <w:t>暖气片、辐射板、换热器、其他</w:t>
            </w:r>
          </w:p>
        </w:tc>
      </w:tr>
      <w:tr w14:paraId="05A4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19562D38">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2C807EAD">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588872AF">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通风产品</w:t>
            </w:r>
          </w:p>
        </w:tc>
        <w:tc>
          <w:tcPr>
            <w:tcW w:w="4820" w:type="dxa"/>
            <w:tcBorders>
              <w:left w:val="single" w:color="auto" w:sz="4" w:space="0"/>
            </w:tcBorders>
          </w:tcPr>
          <w:p w14:paraId="53445227">
            <w:pPr>
              <w:pStyle w:val="28"/>
              <w:tabs>
                <w:tab w:val="clear" w:pos="4201"/>
                <w:tab w:val="clear" w:pos="9298"/>
              </w:tabs>
              <w:spacing w:line="360" w:lineRule="auto"/>
              <w:ind w:firstLine="0" w:firstLineChars="0"/>
              <w:jc w:val="left"/>
              <w:rPr>
                <w:rFonts w:ascii="Times New Roman"/>
                <w:szCs w:val="18"/>
              </w:rPr>
            </w:pPr>
            <w:r>
              <w:rPr>
                <w:rFonts w:ascii="Times New Roman"/>
                <w:szCs w:val="18"/>
              </w:rPr>
              <w:t>吊顶式通风器、风阀、风口、消声器、其他</w:t>
            </w:r>
          </w:p>
        </w:tc>
      </w:tr>
      <w:tr w14:paraId="5228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76A9728A">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450B9345">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681D96A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空调产品</w:t>
            </w:r>
          </w:p>
        </w:tc>
        <w:tc>
          <w:tcPr>
            <w:tcW w:w="4820" w:type="dxa"/>
            <w:tcBorders>
              <w:left w:val="single" w:color="auto" w:sz="4" w:space="0"/>
            </w:tcBorders>
          </w:tcPr>
          <w:p w14:paraId="5598AA62">
            <w:pPr>
              <w:pStyle w:val="28"/>
              <w:tabs>
                <w:tab w:val="clear" w:pos="4201"/>
                <w:tab w:val="clear" w:pos="9298"/>
              </w:tabs>
              <w:spacing w:line="360" w:lineRule="auto"/>
              <w:ind w:firstLine="0" w:firstLineChars="0"/>
              <w:jc w:val="left"/>
              <w:rPr>
                <w:rFonts w:ascii="Times New Roman"/>
                <w:szCs w:val="18"/>
              </w:rPr>
            </w:pPr>
            <w:r>
              <w:rPr>
                <w:rFonts w:ascii="Times New Roman"/>
                <w:szCs w:val="18"/>
              </w:rPr>
              <w:t>新风机组、组合式空调机组、风机盘管机组、蒸发冷却空调机组、冷梁、空调设备用加湿器、其他</w:t>
            </w:r>
          </w:p>
        </w:tc>
      </w:tr>
      <w:tr w14:paraId="0016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555" w:type="dxa"/>
            <w:vMerge w:val="continue"/>
            <w:vAlign w:val="center"/>
          </w:tcPr>
          <w:p w14:paraId="45C74FD6">
            <w:pPr>
              <w:pStyle w:val="28"/>
              <w:tabs>
                <w:tab w:val="clear" w:pos="4201"/>
                <w:tab w:val="clear" w:pos="9298"/>
              </w:tabs>
              <w:spacing w:line="360" w:lineRule="auto"/>
              <w:ind w:firstLine="0" w:firstLineChars="0"/>
              <w:jc w:val="center"/>
              <w:rPr>
                <w:rFonts w:ascii="Times New Roman"/>
                <w:b/>
                <w:bCs/>
                <w:szCs w:val="18"/>
              </w:rPr>
            </w:pPr>
          </w:p>
        </w:tc>
        <w:tc>
          <w:tcPr>
            <w:tcW w:w="1842" w:type="dxa"/>
            <w:vMerge w:val="continue"/>
            <w:vAlign w:val="center"/>
          </w:tcPr>
          <w:p w14:paraId="05E44345">
            <w:pPr>
              <w:pStyle w:val="28"/>
              <w:tabs>
                <w:tab w:val="clear" w:pos="4201"/>
                <w:tab w:val="clear" w:pos="9298"/>
              </w:tabs>
              <w:spacing w:line="360" w:lineRule="auto"/>
              <w:ind w:firstLine="0" w:firstLineChars="0"/>
              <w:jc w:val="center"/>
              <w:rPr>
                <w:rFonts w:ascii="Times New Roman"/>
                <w:b/>
                <w:bCs/>
                <w:szCs w:val="18"/>
              </w:rPr>
            </w:pPr>
          </w:p>
        </w:tc>
        <w:tc>
          <w:tcPr>
            <w:tcW w:w="1134" w:type="dxa"/>
            <w:tcBorders>
              <w:right w:val="single" w:color="auto" w:sz="4" w:space="0"/>
            </w:tcBorders>
            <w:vAlign w:val="center"/>
          </w:tcPr>
          <w:p w14:paraId="20F55DA6">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净化产品</w:t>
            </w:r>
          </w:p>
        </w:tc>
        <w:tc>
          <w:tcPr>
            <w:tcW w:w="4820" w:type="dxa"/>
            <w:tcBorders>
              <w:left w:val="single" w:color="auto" w:sz="4" w:space="0"/>
            </w:tcBorders>
          </w:tcPr>
          <w:p w14:paraId="4CA87FB4">
            <w:pPr>
              <w:pStyle w:val="28"/>
              <w:tabs>
                <w:tab w:val="clear" w:pos="4201"/>
                <w:tab w:val="clear" w:pos="9298"/>
              </w:tabs>
              <w:spacing w:line="360" w:lineRule="auto"/>
              <w:ind w:firstLine="0" w:firstLineChars="0"/>
              <w:jc w:val="left"/>
              <w:rPr>
                <w:rFonts w:ascii="Times New Roman"/>
                <w:szCs w:val="18"/>
              </w:rPr>
            </w:pPr>
            <w:r>
              <w:rPr>
                <w:rFonts w:ascii="Times New Roman"/>
                <w:szCs w:val="18"/>
              </w:rPr>
              <w:t>空气过滤器、静电过滤器、化学过滤器、其他</w:t>
            </w:r>
          </w:p>
        </w:tc>
      </w:tr>
    </w:tbl>
    <w:p w14:paraId="7CDABCDB">
      <w:pPr>
        <w:pStyle w:val="28"/>
        <w:tabs>
          <w:tab w:val="clear" w:pos="4201"/>
          <w:tab w:val="clear" w:pos="9298"/>
        </w:tabs>
        <w:spacing w:line="360" w:lineRule="auto"/>
        <w:jc w:val="center"/>
        <w:rPr>
          <w:rFonts w:ascii="Times New Roman" w:eastAsia="黑体"/>
        </w:rPr>
      </w:pPr>
    </w:p>
    <w:p w14:paraId="6E4D36A8">
      <w:pPr>
        <w:pStyle w:val="28"/>
        <w:tabs>
          <w:tab w:val="clear" w:pos="4201"/>
          <w:tab w:val="clear" w:pos="9298"/>
        </w:tabs>
        <w:spacing w:line="360" w:lineRule="auto"/>
        <w:jc w:val="center"/>
        <w:rPr>
          <w:rFonts w:ascii="Times New Roman" w:eastAsia="黑体"/>
        </w:rPr>
      </w:pPr>
    </w:p>
    <w:p w14:paraId="07FA304E">
      <w:pPr>
        <w:pStyle w:val="28"/>
        <w:tabs>
          <w:tab w:val="clear" w:pos="4201"/>
          <w:tab w:val="clear" w:pos="9298"/>
        </w:tabs>
        <w:spacing w:line="360" w:lineRule="auto"/>
        <w:jc w:val="center"/>
        <w:rPr>
          <w:rFonts w:ascii="Times New Roman" w:eastAsia="黑体"/>
        </w:rPr>
      </w:pPr>
    </w:p>
    <w:p w14:paraId="5926D4EB">
      <w:pPr>
        <w:pStyle w:val="28"/>
        <w:tabs>
          <w:tab w:val="clear" w:pos="4201"/>
          <w:tab w:val="clear" w:pos="9298"/>
        </w:tabs>
        <w:spacing w:line="360" w:lineRule="auto"/>
        <w:jc w:val="center"/>
        <w:rPr>
          <w:rFonts w:ascii="Times New Roman" w:eastAsia="黑体"/>
        </w:rPr>
      </w:pPr>
    </w:p>
    <w:p w14:paraId="732E7481">
      <w:pPr>
        <w:pStyle w:val="28"/>
        <w:tabs>
          <w:tab w:val="clear" w:pos="4201"/>
          <w:tab w:val="clear" w:pos="9298"/>
        </w:tabs>
        <w:spacing w:line="360" w:lineRule="auto"/>
        <w:jc w:val="center"/>
        <w:rPr>
          <w:rFonts w:ascii="Times New Roman" w:eastAsia="黑体"/>
        </w:rPr>
      </w:pPr>
    </w:p>
    <w:p w14:paraId="068415CA">
      <w:pPr>
        <w:pStyle w:val="28"/>
        <w:tabs>
          <w:tab w:val="clear" w:pos="4201"/>
          <w:tab w:val="clear" w:pos="9298"/>
        </w:tabs>
        <w:spacing w:line="360" w:lineRule="auto"/>
        <w:jc w:val="center"/>
        <w:rPr>
          <w:rFonts w:ascii="Times New Roman" w:eastAsia="黑体"/>
        </w:rPr>
      </w:pPr>
    </w:p>
    <w:p w14:paraId="283C6E2C">
      <w:pPr>
        <w:pStyle w:val="28"/>
        <w:tabs>
          <w:tab w:val="clear" w:pos="4201"/>
          <w:tab w:val="clear" w:pos="9298"/>
        </w:tabs>
        <w:spacing w:line="360" w:lineRule="auto"/>
        <w:jc w:val="center"/>
        <w:rPr>
          <w:rFonts w:ascii="Times New Roman" w:eastAsia="黑体"/>
        </w:rPr>
      </w:pPr>
    </w:p>
    <w:p w14:paraId="16E7E6A7">
      <w:pPr>
        <w:pStyle w:val="28"/>
        <w:tabs>
          <w:tab w:val="clear" w:pos="4201"/>
          <w:tab w:val="clear" w:pos="9298"/>
        </w:tabs>
        <w:spacing w:line="360" w:lineRule="auto"/>
        <w:jc w:val="center"/>
        <w:rPr>
          <w:rFonts w:ascii="Times New Roman" w:eastAsia="黑体"/>
        </w:rPr>
      </w:pPr>
    </w:p>
    <w:p w14:paraId="5C1F26CB">
      <w:pPr>
        <w:pStyle w:val="28"/>
        <w:tabs>
          <w:tab w:val="clear" w:pos="4201"/>
          <w:tab w:val="clear" w:pos="9298"/>
        </w:tabs>
        <w:spacing w:line="360" w:lineRule="auto"/>
        <w:jc w:val="center"/>
        <w:rPr>
          <w:rFonts w:ascii="Times New Roman" w:eastAsia="黑体"/>
        </w:rPr>
      </w:pPr>
    </w:p>
    <w:p w14:paraId="15D279B1">
      <w:pPr>
        <w:pStyle w:val="28"/>
        <w:tabs>
          <w:tab w:val="clear" w:pos="4201"/>
          <w:tab w:val="clear" w:pos="9298"/>
        </w:tabs>
        <w:spacing w:line="360" w:lineRule="auto"/>
        <w:jc w:val="center"/>
        <w:rPr>
          <w:rFonts w:ascii="Times New Roman" w:eastAsia="黑体"/>
        </w:rPr>
      </w:pPr>
    </w:p>
    <w:p w14:paraId="1676857A">
      <w:pPr>
        <w:pStyle w:val="28"/>
        <w:tabs>
          <w:tab w:val="clear" w:pos="4201"/>
          <w:tab w:val="clear" w:pos="9298"/>
        </w:tabs>
        <w:spacing w:line="360" w:lineRule="auto"/>
        <w:jc w:val="center"/>
        <w:rPr>
          <w:rFonts w:ascii="Times New Roman" w:eastAsia="黑体"/>
        </w:rPr>
      </w:pPr>
    </w:p>
    <w:p w14:paraId="7015BB70">
      <w:pPr>
        <w:pStyle w:val="28"/>
        <w:tabs>
          <w:tab w:val="clear" w:pos="4201"/>
          <w:tab w:val="clear" w:pos="9298"/>
        </w:tabs>
        <w:spacing w:line="360" w:lineRule="auto"/>
        <w:jc w:val="center"/>
        <w:rPr>
          <w:rFonts w:ascii="Times New Roman" w:eastAsia="黑体"/>
        </w:rPr>
      </w:pPr>
    </w:p>
    <w:p w14:paraId="70AD24B6">
      <w:pPr>
        <w:pStyle w:val="28"/>
        <w:tabs>
          <w:tab w:val="clear" w:pos="4201"/>
          <w:tab w:val="clear" w:pos="9298"/>
        </w:tabs>
        <w:spacing w:line="360" w:lineRule="auto"/>
        <w:jc w:val="center"/>
        <w:rPr>
          <w:rFonts w:ascii="Times New Roman" w:eastAsia="黑体"/>
        </w:rPr>
      </w:pPr>
    </w:p>
    <w:p w14:paraId="3F038E0A">
      <w:pPr>
        <w:pStyle w:val="53"/>
        <w:numPr>
          <w:ilvl w:val="0"/>
          <w:numId w:val="0"/>
        </w:numPr>
        <w:spacing w:beforeLines="0" w:afterLines="0" w:line="360" w:lineRule="auto"/>
        <w:jc w:val="center"/>
        <w:rPr>
          <w:rFonts w:ascii="Times New Roman"/>
        </w:rPr>
      </w:pPr>
      <w:bookmarkStart w:id="45" w:name="_Toc211864631"/>
      <w:r>
        <w:rPr>
          <w:rFonts w:ascii="Times New Roman"/>
        </w:rPr>
        <w:t>附录B</w:t>
      </w:r>
      <w:r>
        <w:rPr>
          <w:rFonts w:hint="eastAsia" w:ascii="Times New Roman"/>
        </w:rPr>
        <w:t xml:space="preserve"> </w:t>
      </w:r>
      <w:r>
        <w:rPr>
          <w:rFonts w:ascii="Times New Roman"/>
        </w:rPr>
        <w:br w:type="textWrapping"/>
      </w:r>
      <w:r>
        <w:rPr>
          <w:rFonts w:hint="eastAsia" w:ascii="Times New Roman"/>
        </w:rPr>
        <w:t>（资料性）</w:t>
      </w:r>
      <w:r>
        <w:rPr>
          <w:rFonts w:ascii="Times New Roman"/>
        </w:rPr>
        <w:br w:type="textWrapping"/>
      </w:r>
      <w:r>
        <w:rPr>
          <w:rFonts w:hint="eastAsia" w:ascii="Times New Roman"/>
        </w:rPr>
        <w:t>暖通空调及净化设备产品碳足迹量化数据收集表</w:t>
      </w:r>
      <w:bookmarkEnd w:id="45"/>
    </w:p>
    <w:p w14:paraId="6DCD2FB3">
      <w:pPr>
        <w:pStyle w:val="28"/>
        <w:tabs>
          <w:tab w:val="clear" w:pos="4201"/>
          <w:tab w:val="clear" w:pos="9298"/>
        </w:tabs>
        <w:spacing w:line="360" w:lineRule="auto"/>
        <w:rPr>
          <w:rFonts w:ascii="Times New Roman"/>
        </w:rPr>
      </w:pPr>
    </w:p>
    <w:p w14:paraId="7108C4A0">
      <w:pPr>
        <w:pStyle w:val="28"/>
        <w:tabs>
          <w:tab w:val="clear" w:pos="4201"/>
          <w:tab w:val="clear" w:pos="9298"/>
        </w:tabs>
        <w:spacing w:line="360" w:lineRule="auto"/>
        <w:rPr>
          <w:rFonts w:ascii="Times New Roman"/>
        </w:rPr>
      </w:pPr>
      <w:r>
        <w:rPr>
          <w:rFonts w:ascii="Times New Roman"/>
        </w:rPr>
        <w:t>暖通空调及净化设备产品碳足迹量化数据收集见表B.1～B.5。其并不代表全部收集范围，报告主体可根据实际情况补充或调整。</w:t>
      </w:r>
    </w:p>
    <w:p w14:paraId="786C1C0B">
      <w:pPr>
        <w:pStyle w:val="28"/>
        <w:tabs>
          <w:tab w:val="clear" w:pos="4201"/>
          <w:tab w:val="clear" w:pos="9298"/>
        </w:tabs>
        <w:spacing w:line="360" w:lineRule="auto"/>
        <w:jc w:val="center"/>
        <w:rPr>
          <w:rFonts w:ascii="Times New Roman" w:eastAsia="黑体"/>
        </w:rPr>
      </w:pPr>
      <w:r>
        <w:rPr>
          <w:rFonts w:ascii="Times New Roman" w:eastAsia="黑体"/>
        </w:rPr>
        <w:t xml:space="preserve">表B.1 原材料获取阶段的数据收集表 </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2"/>
        <w:gridCol w:w="1375"/>
        <w:gridCol w:w="1124"/>
        <w:gridCol w:w="1250"/>
        <w:gridCol w:w="1255"/>
        <w:gridCol w:w="1512"/>
        <w:gridCol w:w="1285"/>
      </w:tblGrid>
      <w:tr w14:paraId="6A31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Merge w:val="restart"/>
            <w:vAlign w:val="center"/>
          </w:tcPr>
          <w:p w14:paraId="2DACE1C4">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原材料名称</w:t>
            </w:r>
          </w:p>
        </w:tc>
        <w:tc>
          <w:tcPr>
            <w:tcW w:w="1375" w:type="dxa"/>
            <w:vMerge w:val="restart"/>
            <w:vAlign w:val="center"/>
          </w:tcPr>
          <w:p w14:paraId="5C5DF105">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消耗量</w:t>
            </w:r>
          </w:p>
        </w:tc>
        <w:tc>
          <w:tcPr>
            <w:tcW w:w="1124" w:type="dxa"/>
            <w:vMerge w:val="restart"/>
            <w:vAlign w:val="center"/>
          </w:tcPr>
          <w:p w14:paraId="1AF43E56">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单位</w:t>
            </w:r>
          </w:p>
        </w:tc>
        <w:tc>
          <w:tcPr>
            <w:tcW w:w="2505" w:type="dxa"/>
            <w:gridSpan w:val="2"/>
            <w:vAlign w:val="center"/>
          </w:tcPr>
          <w:p w14:paraId="270823D7">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运输方式</w:t>
            </w:r>
          </w:p>
        </w:tc>
        <w:tc>
          <w:tcPr>
            <w:tcW w:w="1512" w:type="dxa"/>
            <w:vMerge w:val="restart"/>
            <w:vAlign w:val="center"/>
          </w:tcPr>
          <w:p w14:paraId="7E53A43A">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运输距离(km)</w:t>
            </w:r>
          </w:p>
        </w:tc>
        <w:tc>
          <w:tcPr>
            <w:tcW w:w="1285" w:type="dxa"/>
            <w:vMerge w:val="restart"/>
            <w:vAlign w:val="center"/>
          </w:tcPr>
          <w:p w14:paraId="69D03CF4">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5271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Merge w:val="continue"/>
            <w:vAlign w:val="center"/>
          </w:tcPr>
          <w:p w14:paraId="279E212F">
            <w:pPr>
              <w:pStyle w:val="28"/>
              <w:tabs>
                <w:tab w:val="clear" w:pos="4201"/>
                <w:tab w:val="clear" w:pos="9298"/>
              </w:tabs>
              <w:spacing w:line="360" w:lineRule="auto"/>
              <w:ind w:firstLine="0" w:firstLineChars="0"/>
              <w:jc w:val="center"/>
              <w:rPr>
                <w:rFonts w:ascii="Times New Roman"/>
                <w:b/>
                <w:bCs/>
                <w:szCs w:val="18"/>
              </w:rPr>
            </w:pPr>
          </w:p>
        </w:tc>
        <w:tc>
          <w:tcPr>
            <w:tcW w:w="1375" w:type="dxa"/>
            <w:vMerge w:val="continue"/>
            <w:vAlign w:val="center"/>
          </w:tcPr>
          <w:p w14:paraId="786BD9F8">
            <w:pPr>
              <w:pStyle w:val="28"/>
              <w:tabs>
                <w:tab w:val="clear" w:pos="4201"/>
                <w:tab w:val="clear" w:pos="9298"/>
              </w:tabs>
              <w:spacing w:line="360" w:lineRule="auto"/>
              <w:ind w:firstLine="0" w:firstLineChars="0"/>
              <w:jc w:val="center"/>
              <w:rPr>
                <w:rFonts w:ascii="Times New Roman"/>
                <w:b/>
                <w:bCs/>
                <w:szCs w:val="18"/>
              </w:rPr>
            </w:pPr>
          </w:p>
        </w:tc>
        <w:tc>
          <w:tcPr>
            <w:tcW w:w="1124" w:type="dxa"/>
            <w:vMerge w:val="continue"/>
            <w:vAlign w:val="center"/>
          </w:tcPr>
          <w:p w14:paraId="5C95ED63">
            <w:pPr>
              <w:pStyle w:val="28"/>
              <w:tabs>
                <w:tab w:val="clear" w:pos="4201"/>
                <w:tab w:val="clear" w:pos="9298"/>
              </w:tabs>
              <w:spacing w:line="360" w:lineRule="auto"/>
              <w:ind w:firstLine="0" w:firstLineChars="0"/>
              <w:jc w:val="center"/>
              <w:rPr>
                <w:rFonts w:ascii="Times New Roman"/>
                <w:b/>
                <w:bCs/>
                <w:szCs w:val="18"/>
              </w:rPr>
            </w:pPr>
          </w:p>
        </w:tc>
        <w:tc>
          <w:tcPr>
            <w:tcW w:w="1250" w:type="dxa"/>
            <w:tcBorders>
              <w:right w:val="single" w:color="auto" w:sz="4" w:space="0"/>
            </w:tcBorders>
            <w:vAlign w:val="center"/>
          </w:tcPr>
          <w:p w14:paraId="7EC0D730">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运输工具</w:t>
            </w:r>
          </w:p>
        </w:tc>
        <w:tc>
          <w:tcPr>
            <w:tcW w:w="1255" w:type="dxa"/>
            <w:tcBorders>
              <w:left w:val="single" w:color="auto" w:sz="4" w:space="0"/>
            </w:tcBorders>
            <w:vAlign w:val="center"/>
          </w:tcPr>
          <w:p w14:paraId="470C3FAD">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载重（t）</w:t>
            </w:r>
          </w:p>
        </w:tc>
        <w:tc>
          <w:tcPr>
            <w:tcW w:w="1512" w:type="dxa"/>
            <w:vMerge w:val="continue"/>
            <w:vAlign w:val="center"/>
          </w:tcPr>
          <w:p w14:paraId="3BF3B7C6">
            <w:pPr>
              <w:pStyle w:val="28"/>
              <w:tabs>
                <w:tab w:val="clear" w:pos="4201"/>
                <w:tab w:val="clear" w:pos="9298"/>
              </w:tabs>
              <w:spacing w:line="360" w:lineRule="auto"/>
              <w:ind w:firstLine="0" w:firstLineChars="0"/>
              <w:jc w:val="center"/>
              <w:rPr>
                <w:rFonts w:ascii="Times New Roman"/>
                <w:b/>
                <w:bCs/>
                <w:szCs w:val="18"/>
              </w:rPr>
            </w:pPr>
          </w:p>
        </w:tc>
        <w:tc>
          <w:tcPr>
            <w:tcW w:w="1285" w:type="dxa"/>
            <w:vMerge w:val="continue"/>
            <w:vAlign w:val="center"/>
          </w:tcPr>
          <w:p w14:paraId="0FDDFE4D">
            <w:pPr>
              <w:pStyle w:val="28"/>
              <w:tabs>
                <w:tab w:val="clear" w:pos="4201"/>
                <w:tab w:val="clear" w:pos="9298"/>
              </w:tabs>
              <w:spacing w:line="360" w:lineRule="auto"/>
              <w:ind w:firstLine="0" w:firstLineChars="0"/>
              <w:jc w:val="center"/>
              <w:rPr>
                <w:rFonts w:ascii="Times New Roman"/>
                <w:b/>
                <w:bCs/>
                <w:szCs w:val="18"/>
              </w:rPr>
            </w:pPr>
          </w:p>
        </w:tc>
      </w:tr>
      <w:tr w14:paraId="373C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Align w:val="center"/>
          </w:tcPr>
          <w:p w14:paraId="0FF87F9D">
            <w:pPr>
              <w:pStyle w:val="28"/>
              <w:tabs>
                <w:tab w:val="clear" w:pos="4201"/>
                <w:tab w:val="clear" w:pos="9298"/>
              </w:tabs>
              <w:spacing w:line="360" w:lineRule="auto"/>
              <w:ind w:firstLine="0" w:firstLineChars="0"/>
              <w:jc w:val="center"/>
              <w:rPr>
                <w:rFonts w:ascii="Times New Roman"/>
                <w:szCs w:val="18"/>
              </w:rPr>
            </w:pPr>
          </w:p>
        </w:tc>
        <w:tc>
          <w:tcPr>
            <w:tcW w:w="1375" w:type="dxa"/>
            <w:vAlign w:val="center"/>
          </w:tcPr>
          <w:p w14:paraId="4B4464A1">
            <w:pPr>
              <w:pStyle w:val="28"/>
              <w:tabs>
                <w:tab w:val="clear" w:pos="4201"/>
                <w:tab w:val="clear" w:pos="9298"/>
              </w:tabs>
              <w:spacing w:line="360" w:lineRule="auto"/>
              <w:ind w:firstLine="0" w:firstLineChars="0"/>
              <w:jc w:val="center"/>
              <w:rPr>
                <w:rFonts w:ascii="Times New Roman"/>
                <w:szCs w:val="18"/>
              </w:rPr>
            </w:pPr>
          </w:p>
        </w:tc>
        <w:tc>
          <w:tcPr>
            <w:tcW w:w="1124" w:type="dxa"/>
            <w:vAlign w:val="center"/>
          </w:tcPr>
          <w:p w14:paraId="19D54FFA">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1250" w:type="dxa"/>
            <w:tcBorders>
              <w:right w:val="single" w:color="auto" w:sz="4" w:space="0"/>
            </w:tcBorders>
            <w:vAlign w:val="center"/>
          </w:tcPr>
          <w:p w14:paraId="2769FB58">
            <w:pPr>
              <w:pStyle w:val="28"/>
              <w:tabs>
                <w:tab w:val="clear" w:pos="4201"/>
                <w:tab w:val="clear" w:pos="9298"/>
              </w:tabs>
              <w:spacing w:line="360" w:lineRule="auto"/>
              <w:ind w:firstLine="0" w:firstLineChars="0"/>
              <w:jc w:val="center"/>
              <w:rPr>
                <w:rFonts w:ascii="Times New Roman"/>
                <w:szCs w:val="18"/>
              </w:rPr>
            </w:pPr>
            <w:r>
              <w:rPr>
                <w:rFonts w:ascii="Times New Roman"/>
                <w:szCs w:val="18"/>
              </w:rPr>
              <w:t>汽油货车</w:t>
            </w:r>
          </w:p>
        </w:tc>
        <w:tc>
          <w:tcPr>
            <w:tcW w:w="1255" w:type="dxa"/>
            <w:tcBorders>
              <w:left w:val="single" w:color="auto" w:sz="4" w:space="0"/>
            </w:tcBorders>
            <w:vAlign w:val="center"/>
          </w:tcPr>
          <w:p w14:paraId="54A95AEE">
            <w:pPr>
              <w:pStyle w:val="28"/>
              <w:tabs>
                <w:tab w:val="clear" w:pos="4201"/>
                <w:tab w:val="clear" w:pos="9298"/>
              </w:tabs>
              <w:spacing w:line="360" w:lineRule="auto"/>
              <w:ind w:firstLine="0" w:firstLineChars="0"/>
              <w:jc w:val="center"/>
              <w:rPr>
                <w:rFonts w:ascii="Times New Roman"/>
                <w:szCs w:val="18"/>
              </w:rPr>
            </w:pPr>
          </w:p>
        </w:tc>
        <w:tc>
          <w:tcPr>
            <w:tcW w:w="1512" w:type="dxa"/>
            <w:vAlign w:val="center"/>
          </w:tcPr>
          <w:p w14:paraId="27DC2A6C">
            <w:pPr>
              <w:pStyle w:val="28"/>
              <w:tabs>
                <w:tab w:val="clear" w:pos="4201"/>
                <w:tab w:val="clear" w:pos="9298"/>
              </w:tabs>
              <w:spacing w:line="360" w:lineRule="auto"/>
              <w:ind w:firstLine="0" w:firstLineChars="0"/>
              <w:jc w:val="center"/>
              <w:rPr>
                <w:rFonts w:ascii="Times New Roman"/>
                <w:szCs w:val="18"/>
              </w:rPr>
            </w:pPr>
          </w:p>
        </w:tc>
        <w:tc>
          <w:tcPr>
            <w:tcW w:w="1285" w:type="dxa"/>
            <w:vAlign w:val="center"/>
          </w:tcPr>
          <w:p w14:paraId="445447B4">
            <w:pPr>
              <w:pStyle w:val="28"/>
              <w:tabs>
                <w:tab w:val="clear" w:pos="4201"/>
                <w:tab w:val="clear" w:pos="9298"/>
              </w:tabs>
              <w:spacing w:line="360" w:lineRule="auto"/>
              <w:ind w:firstLine="0" w:firstLineChars="0"/>
              <w:jc w:val="center"/>
              <w:rPr>
                <w:rFonts w:ascii="Times New Roman"/>
                <w:szCs w:val="18"/>
              </w:rPr>
            </w:pPr>
          </w:p>
        </w:tc>
      </w:tr>
      <w:tr w14:paraId="2ABA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Align w:val="center"/>
          </w:tcPr>
          <w:p w14:paraId="36B871D9">
            <w:pPr>
              <w:pStyle w:val="28"/>
              <w:tabs>
                <w:tab w:val="clear" w:pos="4201"/>
                <w:tab w:val="clear" w:pos="9298"/>
              </w:tabs>
              <w:spacing w:line="360" w:lineRule="auto"/>
              <w:ind w:firstLine="0" w:firstLineChars="0"/>
              <w:jc w:val="center"/>
              <w:rPr>
                <w:rFonts w:ascii="Times New Roman"/>
                <w:szCs w:val="18"/>
              </w:rPr>
            </w:pPr>
          </w:p>
        </w:tc>
        <w:tc>
          <w:tcPr>
            <w:tcW w:w="1375" w:type="dxa"/>
            <w:vAlign w:val="center"/>
          </w:tcPr>
          <w:p w14:paraId="5CF4629A">
            <w:pPr>
              <w:pStyle w:val="28"/>
              <w:tabs>
                <w:tab w:val="clear" w:pos="4201"/>
                <w:tab w:val="clear" w:pos="9298"/>
              </w:tabs>
              <w:spacing w:line="360" w:lineRule="auto"/>
              <w:ind w:firstLine="0" w:firstLineChars="0"/>
              <w:jc w:val="center"/>
              <w:rPr>
                <w:rFonts w:ascii="Times New Roman"/>
                <w:szCs w:val="18"/>
              </w:rPr>
            </w:pPr>
          </w:p>
        </w:tc>
        <w:tc>
          <w:tcPr>
            <w:tcW w:w="1124" w:type="dxa"/>
            <w:vAlign w:val="center"/>
          </w:tcPr>
          <w:p w14:paraId="2677A6CE">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1250" w:type="dxa"/>
            <w:tcBorders>
              <w:right w:val="single" w:color="auto" w:sz="4" w:space="0"/>
            </w:tcBorders>
            <w:vAlign w:val="center"/>
          </w:tcPr>
          <w:p w14:paraId="57470626">
            <w:pPr>
              <w:pStyle w:val="28"/>
              <w:tabs>
                <w:tab w:val="clear" w:pos="4201"/>
                <w:tab w:val="clear" w:pos="9298"/>
              </w:tabs>
              <w:spacing w:line="360" w:lineRule="auto"/>
              <w:ind w:firstLine="0" w:firstLineChars="0"/>
              <w:jc w:val="center"/>
              <w:rPr>
                <w:rFonts w:ascii="Times New Roman"/>
                <w:szCs w:val="18"/>
              </w:rPr>
            </w:pPr>
          </w:p>
        </w:tc>
        <w:tc>
          <w:tcPr>
            <w:tcW w:w="1255" w:type="dxa"/>
            <w:tcBorders>
              <w:left w:val="single" w:color="auto" w:sz="4" w:space="0"/>
            </w:tcBorders>
            <w:vAlign w:val="center"/>
          </w:tcPr>
          <w:p w14:paraId="25C7B246">
            <w:pPr>
              <w:pStyle w:val="28"/>
              <w:tabs>
                <w:tab w:val="clear" w:pos="4201"/>
                <w:tab w:val="clear" w:pos="9298"/>
              </w:tabs>
              <w:spacing w:line="360" w:lineRule="auto"/>
              <w:ind w:firstLine="0" w:firstLineChars="0"/>
              <w:jc w:val="center"/>
              <w:rPr>
                <w:rFonts w:ascii="Times New Roman"/>
                <w:szCs w:val="18"/>
              </w:rPr>
            </w:pPr>
          </w:p>
        </w:tc>
        <w:tc>
          <w:tcPr>
            <w:tcW w:w="1512" w:type="dxa"/>
            <w:vAlign w:val="center"/>
          </w:tcPr>
          <w:p w14:paraId="5AC3CD6C">
            <w:pPr>
              <w:pStyle w:val="28"/>
              <w:tabs>
                <w:tab w:val="clear" w:pos="4201"/>
                <w:tab w:val="clear" w:pos="9298"/>
              </w:tabs>
              <w:spacing w:line="360" w:lineRule="auto"/>
              <w:ind w:firstLine="0" w:firstLineChars="0"/>
              <w:jc w:val="center"/>
              <w:rPr>
                <w:rFonts w:ascii="Times New Roman"/>
                <w:szCs w:val="18"/>
              </w:rPr>
            </w:pPr>
          </w:p>
        </w:tc>
        <w:tc>
          <w:tcPr>
            <w:tcW w:w="1285" w:type="dxa"/>
            <w:vAlign w:val="center"/>
          </w:tcPr>
          <w:p w14:paraId="24AC9E79">
            <w:pPr>
              <w:pStyle w:val="28"/>
              <w:tabs>
                <w:tab w:val="clear" w:pos="4201"/>
                <w:tab w:val="clear" w:pos="9298"/>
              </w:tabs>
              <w:spacing w:line="360" w:lineRule="auto"/>
              <w:ind w:firstLine="0" w:firstLineChars="0"/>
              <w:jc w:val="center"/>
              <w:rPr>
                <w:rFonts w:ascii="Times New Roman"/>
                <w:szCs w:val="18"/>
              </w:rPr>
            </w:pPr>
          </w:p>
        </w:tc>
      </w:tr>
      <w:tr w14:paraId="0029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512" w:type="dxa"/>
            <w:vAlign w:val="center"/>
          </w:tcPr>
          <w:p w14:paraId="4ECE5AD2">
            <w:pPr>
              <w:pStyle w:val="28"/>
              <w:tabs>
                <w:tab w:val="clear" w:pos="4201"/>
                <w:tab w:val="clear" w:pos="9298"/>
              </w:tabs>
              <w:spacing w:line="360" w:lineRule="auto"/>
              <w:ind w:firstLine="0" w:firstLineChars="0"/>
              <w:jc w:val="center"/>
              <w:rPr>
                <w:rFonts w:ascii="Times New Roman"/>
                <w:szCs w:val="18"/>
              </w:rPr>
            </w:pPr>
          </w:p>
        </w:tc>
        <w:tc>
          <w:tcPr>
            <w:tcW w:w="1375" w:type="dxa"/>
            <w:vAlign w:val="center"/>
          </w:tcPr>
          <w:p w14:paraId="5D7EFE0F">
            <w:pPr>
              <w:pStyle w:val="28"/>
              <w:tabs>
                <w:tab w:val="clear" w:pos="4201"/>
                <w:tab w:val="clear" w:pos="9298"/>
              </w:tabs>
              <w:spacing w:line="360" w:lineRule="auto"/>
              <w:ind w:firstLine="0" w:firstLineChars="0"/>
              <w:jc w:val="center"/>
              <w:rPr>
                <w:rFonts w:ascii="Times New Roman"/>
                <w:szCs w:val="18"/>
              </w:rPr>
            </w:pPr>
          </w:p>
        </w:tc>
        <w:tc>
          <w:tcPr>
            <w:tcW w:w="1124" w:type="dxa"/>
            <w:vAlign w:val="center"/>
          </w:tcPr>
          <w:p w14:paraId="6BE56222">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1250" w:type="dxa"/>
            <w:tcBorders>
              <w:right w:val="single" w:color="auto" w:sz="4" w:space="0"/>
            </w:tcBorders>
            <w:vAlign w:val="center"/>
          </w:tcPr>
          <w:p w14:paraId="59F2A6A4">
            <w:pPr>
              <w:pStyle w:val="28"/>
              <w:tabs>
                <w:tab w:val="clear" w:pos="4201"/>
                <w:tab w:val="clear" w:pos="9298"/>
              </w:tabs>
              <w:spacing w:line="360" w:lineRule="auto"/>
              <w:ind w:firstLine="0" w:firstLineChars="0"/>
              <w:jc w:val="center"/>
              <w:rPr>
                <w:rFonts w:ascii="Times New Roman"/>
                <w:szCs w:val="18"/>
              </w:rPr>
            </w:pPr>
          </w:p>
        </w:tc>
        <w:tc>
          <w:tcPr>
            <w:tcW w:w="1255" w:type="dxa"/>
            <w:tcBorders>
              <w:left w:val="single" w:color="auto" w:sz="4" w:space="0"/>
            </w:tcBorders>
            <w:vAlign w:val="center"/>
          </w:tcPr>
          <w:p w14:paraId="120B61FC">
            <w:pPr>
              <w:pStyle w:val="28"/>
              <w:tabs>
                <w:tab w:val="clear" w:pos="4201"/>
                <w:tab w:val="clear" w:pos="9298"/>
              </w:tabs>
              <w:spacing w:line="360" w:lineRule="auto"/>
              <w:ind w:firstLine="0" w:firstLineChars="0"/>
              <w:jc w:val="center"/>
              <w:rPr>
                <w:rFonts w:ascii="Times New Roman"/>
                <w:szCs w:val="18"/>
              </w:rPr>
            </w:pPr>
          </w:p>
        </w:tc>
        <w:tc>
          <w:tcPr>
            <w:tcW w:w="1512" w:type="dxa"/>
            <w:vAlign w:val="center"/>
          </w:tcPr>
          <w:p w14:paraId="4CEFB7D2">
            <w:pPr>
              <w:pStyle w:val="28"/>
              <w:tabs>
                <w:tab w:val="clear" w:pos="4201"/>
                <w:tab w:val="clear" w:pos="9298"/>
              </w:tabs>
              <w:spacing w:line="360" w:lineRule="auto"/>
              <w:ind w:firstLine="0" w:firstLineChars="0"/>
              <w:jc w:val="center"/>
              <w:rPr>
                <w:rFonts w:ascii="Times New Roman"/>
                <w:szCs w:val="18"/>
              </w:rPr>
            </w:pPr>
          </w:p>
        </w:tc>
        <w:tc>
          <w:tcPr>
            <w:tcW w:w="1285" w:type="dxa"/>
            <w:vAlign w:val="center"/>
          </w:tcPr>
          <w:p w14:paraId="236BCFC1">
            <w:pPr>
              <w:pStyle w:val="28"/>
              <w:tabs>
                <w:tab w:val="clear" w:pos="4201"/>
                <w:tab w:val="clear" w:pos="9298"/>
              </w:tabs>
              <w:spacing w:line="360" w:lineRule="auto"/>
              <w:ind w:firstLine="0" w:firstLineChars="0"/>
              <w:jc w:val="center"/>
              <w:rPr>
                <w:rFonts w:ascii="Times New Roman"/>
                <w:szCs w:val="18"/>
              </w:rPr>
            </w:pPr>
          </w:p>
        </w:tc>
      </w:tr>
      <w:tr w14:paraId="3126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Align w:val="center"/>
          </w:tcPr>
          <w:p w14:paraId="512BFC57">
            <w:pPr>
              <w:pStyle w:val="28"/>
              <w:tabs>
                <w:tab w:val="clear" w:pos="4201"/>
                <w:tab w:val="clear" w:pos="9298"/>
              </w:tabs>
              <w:spacing w:line="360" w:lineRule="auto"/>
              <w:ind w:firstLine="0" w:firstLineChars="0"/>
              <w:jc w:val="center"/>
              <w:rPr>
                <w:rFonts w:ascii="Times New Roman"/>
                <w:szCs w:val="18"/>
              </w:rPr>
            </w:pPr>
          </w:p>
        </w:tc>
        <w:tc>
          <w:tcPr>
            <w:tcW w:w="1375" w:type="dxa"/>
            <w:vAlign w:val="center"/>
          </w:tcPr>
          <w:p w14:paraId="1F7C7F8F">
            <w:pPr>
              <w:pStyle w:val="28"/>
              <w:tabs>
                <w:tab w:val="clear" w:pos="4201"/>
                <w:tab w:val="clear" w:pos="9298"/>
              </w:tabs>
              <w:spacing w:line="360" w:lineRule="auto"/>
              <w:ind w:firstLine="0" w:firstLineChars="0"/>
              <w:jc w:val="center"/>
              <w:rPr>
                <w:rFonts w:ascii="Times New Roman"/>
                <w:szCs w:val="18"/>
              </w:rPr>
            </w:pPr>
          </w:p>
        </w:tc>
        <w:tc>
          <w:tcPr>
            <w:tcW w:w="1124" w:type="dxa"/>
            <w:vAlign w:val="center"/>
          </w:tcPr>
          <w:p w14:paraId="06364CAC">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1250" w:type="dxa"/>
            <w:tcBorders>
              <w:right w:val="single" w:color="auto" w:sz="4" w:space="0"/>
            </w:tcBorders>
            <w:vAlign w:val="center"/>
          </w:tcPr>
          <w:p w14:paraId="6C280D0B">
            <w:pPr>
              <w:pStyle w:val="28"/>
              <w:tabs>
                <w:tab w:val="clear" w:pos="4201"/>
                <w:tab w:val="clear" w:pos="9298"/>
              </w:tabs>
              <w:spacing w:line="360" w:lineRule="auto"/>
              <w:ind w:firstLine="0" w:firstLineChars="0"/>
              <w:jc w:val="center"/>
              <w:rPr>
                <w:rFonts w:ascii="Times New Roman"/>
                <w:szCs w:val="18"/>
              </w:rPr>
            </w:pPr>
          </w:p>
        </w:tc>
        <w:tc>
          <w:tcPr>
            <w:tcW w:w="1255" w:type="dxa"/>
            <w:tcBorders>
              <w:left w:val="single" w:color="auto" w:sz="4" w:space="0"/>
            </w:tcBorders>
            <w:vAlign w:val="center"/>
          </w:tcPr>
          <w:p w14:paraId="6AF062EE">
            <w:pPr>
              <w:pStyle w:val="28"/>
              <w:tabs>
                <w:tab w:val="clear" w:pos="4201"/>
                <w:tab w:val="clear" w:pos="9298"/>
              </w:tabs>
              <w:spacing w:line="360" w:lineRule="auto"/>
              <w:ind w:firstLine="0" w:firstLineChars="0"/>
              <w:jc w:val="center"/>
              <w:rPr>
                <w:rFonts w:ascii="Times New Roman"/>
                <w:szCs w:val="18"/>
              </w:rPr>
            </w:pPr>
          </w:p>
        </w:tc>
        <w:tc>
          <w:tcPr>
            <w:tcW w:w="1512" w:type="dxa"/>
            <w:vAlign w:val="center"/>
          </w:tcPr>
          <w:p w14:paraId="57893F6D">
            <w:pPr>
              <w:pStyle w:val="28"/>
              <w:tabs>
                <w:tab w:val="clear" w:pos="4201"/>
                <w:tab w:val="clear" w:pos="9298"/>
              </w:tabs>
              <w:spacing w:line="360" w:lineRule="auto"/>
              <w:ind w:firstLine="0" w:firstLineChars="0"/>
              <w:jc w:val="center"/>
              <w:rPr>
                <w:rFonts w:ascii="Times New Roman"/>
                <w:szCs w:val="18"/>
              </w:rPr>
            </w:pPr>
          </w:p>
        </w:tc>
        <w:tc>
          <w:tcPr>
            <w:tcW w:w="1285" w:type="dxa"/>
            <w:vAlign w:val="center"/>
          </w:tcPr>
          <w:p w14:paraId="4753301C">
            <w:pPr>
              <w:pStyle w:val="28"/>
              <w:tabs>
                <w:tab w:val="clear" w:pos="4201"/>
                <w:tab w:val="clear" w:pos="9298"/>
              </w:tabs>
              <w:spacing w:line="360" w:lineRule="auto"/>
              <w:ind w:firstLine="0" w:firstLineChars="0"/>
              <w:jc w:val="center"/>
              <w:rPr>
                <w:rFonts w:ascii="Times New Roman"/>
                <w:szCs w:val="18"/>
              </w:rPr>
            </w:pPr>
          </w:p>
        </w:tc>
      </w:tr>
      <w:tr w14:paraId="5F8E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512" w:type="dxa"/>
            <w:vAlign w:val="center"/>
          </w:tcPr>
          <w:p w14:paraId="2169BB3D">
            <w:pPr>
              <w:pStyle w:val="28"/>
              <w:tabs>
                <w:tab w:val="clear" w:pos="4201"/>
                <w:tab w:val="clear" w:pos="9298"/>
              </w:tabs>
              <w:spacing w:line="360" w:lineRule="auto"/>
              <w:ind w:firstLine="0" w:firstLineChars="0"/>
              <w:jc w:val="center"/>
              <w:rPr>
                <w:rFonts w:ascii="Times New Roman"/>
                <w:szCs w:val="18"/>
              </w:rPr>
            </w:pPr>
          </w:p>
        </w:tc>
        <w:tc>
          <w:tcPr>
            <w:tcW w:w="1375" w:type="dxa"/>
            <w:vAlign w:val="center"/>
          </w:tcPr>
          <w:p w14:paraId="7040C775">
            <w:pPr>
              <w:pStyle w:val="28"/>
              <w:tabs>
                <w:tab w:val="clear" w:pos="4201"/>
                <w:tab w:val="clear" w:pos="9298"/>
              </w:tabs>
              <w:spacing w:line="360" w:lineRule="auto"/>
              <w:ind w:firstLine="0" w:firstLineChars="0"/>
              <w:jc w:val="center"/>
              <w:rPr>
                <w:rFonts w:ascii="Times New Roman"/>
                <w:szCs w:val="18"/>
              </w:rPr>
            </w:pPr>
          </w:p>
        </w:tc>
        <w:tc>
          <w:tcPr>
            <w:tcW w:w="1124" w:type="dxa"/>
            <w:vAlign w:val="center"/>
          </w:tcPr>
          <w:p w14:paraId="0030CB78">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1250" w:type="dxa"/>
            <w:tcBorders>
              <w:right w:val="single" w:color="auto" w:sz="4" w:space="0"/>
            </w:tcBorders>
            <w:vAlign w:val="center"/>
          </w:tcPr>
          <w:p w14:paraId="6AFA66B9">
            <w:pPr>
              <w:pStyle w:val="28"/>
              <w:tabs>
                <w:tab w:val="clear" w:pos="4201"/>
                <w:tab w:val="clear" w:pos="9298"/>
              </w:tabs>
              <w:spacing w:line="360" w:lineRule="auto"/>
              <w:ind w:firstLine="0" w:firstLineChars="0"/>
              <w:jc w:val="center"/>
              <w:rPr>
                <w:rFonts w:ascii="Times New Roman"/>
                <w:szCs w:val="18"/>
              </w:rPr>
            </w:pPr>
          </w:p>
        </w:tc>
        <w:tc>
          <w:tcPr>
            <w:tcW w:w="1255" w:type="dxa"/>
            <w:tcBorders>
              <w:left w:val="single" w:color="auto" w:sz="4" w:space="0"/>
            </w:tcBorders>
            <w:vAlign w:val="center"/>
          </w:tcPr>
          <w:p w14:paraId="2343C6E3">
            <w:pPr>
              <w:pStyle w:val="28"/>
              <w:tabs>
                <w:tab w:val="clear" w:pos="4201"/>
                <w:tab w:val="clear" w:pos="9298"/>
              </w:tabs>
              <w:spacing w:line="360" w:lineRule="auto"/>
              <w:ind w:firstLine="0" w:firstLineChars="0"/>
              <w:jc w:val="center"/>
              <w:rPr>
                <w:rFonts w:ascii="Times New Roman"/>
                <w:szCs w:val="18"/>
              </w:rPr>
            </w:pPr>
          </w:p>
        </w:tc>
        <w:tc>
          <w:tcPr>
            <w:tcW w:w="1512" w:type="dxa"/>
            <w:vAlign w:val="center"/>
          </w:tcPr>
          <w:p w14:paraId="7A31C81B">
            <w:pPr>
              <w:pStyle w:val="28"/>
              <w:tabs>
                <w:tab w:val="clear" w:pos="4201"/>
                <w:tab w:val="clear" w:pos="9298"/>
              </w:tabs>
              <w:spacing w:line="360" w:lineRule="auto"/>
              <w:ind w:firstLine="0" w:firstLineChars="0"/>
              <w:jc w:val="center"/>
              <w:rPr>
                <w:rFonts w:ascii="Times New Roman"/>
                <w:szCs w:val="18"/>
              </w:rPr>
            </w:pPr>
          </w:p>
        </w:tc>
        <w:tc>
          <w:tcPr>
            <w:tcW w:w="1285" w:type="dxa"/>
            <w:vAlign w:val="center"/>
          </w:tcPr>
          <w:p w14:paraId="62D6A540">
            <w:pPr>
              <w:pStyle w:val="28"/>
              <w:tabs>
                <w:tab w:val="clear" w:pos="4201"/>
                <w:tab w:val="clear" w:pos="9298"/>
              </w:tabs>
              <w:spacing w:line="360" w:lineRule="auto"/>
              <w:ind w:firstLine="0" w:firstLineChars="0"/>
              <w:jc w:val="center"/>
              <w:rPr>
                <w:rFonts w:ascii="Times New Roman"/>
                <w:szCs w:val="18"/>
              </w:rPr>
            </w:pPr>
          </w:p>
        </w:tc>
      </w:tr>
    </w:tbl>
    <w:p w14:paraId="639AB0AD">
      <w:pPr>
        <w:pStyle w:val="28"/>
        <w:tabs>
          <w:tab w:val="clear" w:pos="4201"/>
          <w:tab w:val="clear" w:pos="9298"/>
        </w:tabs>
        <w:spacing w:line="360" w:lineRule="auto"/>
        <w:jc w:val="center"/>
        <w:rPr>
          <w:rFonts w:ascii="Times New Roman" w:eastAsia="黑体"/>
        </w:rPr>
      </w:pPr>
    </w:p>
    <w:p w14:paraId="6F52282A">
      <w:pPr>
        <w:pStyle w:val="28"/>
        <w:tabs>
          <w:tab w:val="clear" w:pos="4201"/>
          <w:tab w:val="clear" w:pos="9298"/>
        </w:tabs>
        <w:spacing w:line="360" w:lineRule="auto"/>
        <w:jc w:val="center"/>
        <w:rPr>
          <w:rFonts w:ascii="Times New Roman" w:eastAsia="黑体"/>
        </w:rPr>
      </w:pPr>
      <w:r>
        <w:rPr>
          <w:rFonts w:ascii="Times New Roman" w:eastAsia="黑体"/>
        </w:rPr>
        <w:t>表B.2 生产阶段的数据收集表</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6"/>
        <w:gridCol w:w="2621"/>
        <w:gridCol w:w="2551"/>
        <w:gridCol w:w="1836"/>
      </w:tblGrid>
      <w:tr w14:paraId="6350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Pr>
          <w:p w14:paraId="49C0B7CF">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能源类型</w:t>
            </w:r>
          </w:p>
        </w:tc>
        <w:tc>
          <w:tcPr>
            <w:tcW w:w="2621" w:type="dxa"/>
          </w:tcPr>
          <w:p w14:paraId="015858FE">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能源消耗量</w:t>
            </w:r>
          </w:p>
        </w:tc>
        <w:tc>
          <w:tcPr>
            <w:tcW w:w="2551" w:type="dxa"/>
          </w:tcPr>
          <w:p w14:paraId="355AC51E">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生产产品数量</w:t>
            </w:r>
          </w:p>
        </w:tc>
        <w:tc>
          <w:tcPr>
            <w:tcW w:w="1836" w:type="dxa"/>
          </w:tcPr>
          <w:p w14:paraId="7648D64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6D9A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Pr>
          <w:p w14:paraId="20DD4BE2">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电力</w:t>
            </w:r>
          </w:p>
        </w:tc>
        <w:tc>
          <w:tcPr>
            <w:tcW w:w="2621" w:type="dxa"/>
          </w:tcPr>
          <w:p w14:paraId="64B4EDB9">
            <w:pPr>
              <w:pStyle w:val="28"/>
              <w:tabs>
                <w:tab w:val="clear" w:pos="4201"/>
                <w:tab w:val="clear" w:pos="9298"/>
              </w:tabs>
              <w:spacing w:line="360" w:lineRule="auto"/>
              <w:ind w:firstLine="0" w:firstLineChars="0"/>
              <w:jc w:val="right"/>
              <w:rPr>
                <w:rFonts w:ascii="Times New Roman" w:eastAsia="黑体"/>
                <w:szCs w:val="18"/>
              </w:rPr>
            </w:pPr>
            <w:r>
              <w:rPr>
                <w:rFonts w:ascii="Times New Roman"/>
                <w:bCs/>
                <w:szCs w:val="21"/>
              </w:rPr>
              <w:t xml:space="preserve">        kWh</w:t>
            </w:r>
          </w:p>
        </w:tc>
        <w:tc>
          <w:tcPr>
            <w:tcW w:w="2551" w:type="dxa"/>
          </w:tcPr>
          <w:p w14:paraId="0C10BD22">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79347C8B">
            <w:pPr>
              <w:pStyle w:val="28"/>
              <w:tabs>
                <w:tab w:val="clear" w:pos="4201"/>
                <w:tab w:val="clear" w:pos="9298"/>
              </w:tabs>
              <w:spacing w:line="360" w:lineRule="auto"/>
              <w:ind w:firstLine="0" w:firstLineChars="0"/>
              <w:jc w:val="center"/>
              <w:rPr>
                <w:rFonts w:ascii="Times New Roman" w:eastAsia="黑体"/>
                <w:szCs w:val="18"/>
              </w:rPr>
            </w:pPr>
          </w:p>
        </w:tc>
      </w:tr>
      <w:tr w14:paraId="5249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Pr>
          <w:p w14:paraId="66C56623">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天然气</w:t>
            </w:r>
          </w:p>
        </w:tc>
        <w:tc>
          <w:tcPr>
            <w:tcW w:w="2621" w:type="dxa"/>
          </w:tcPr>
          <w:p w14:paraId="3DEC4892">
            <w:pPr>
              <w:pStyle w:val="28"/>
              <w:tabs>
                <w:tab w:val="clear" w:pos="4201"/>
                <w:tab w:val="clear" w:pos="9298"/>
              </w:tabs>
              <w:spacing w:line="360" w:lineRule="auto"/>
              <w:ind w:firstLine="0" w:firstLineChars="0"/>
              <w:jc w:val="right"/>
              <w:rPr>
                <w:rFonts w:ascii="Times New Roman" w:eastAsia="黑体"/>
                <w:szCs w:val="18"/>
              </w:rPr>
            </w:pPr>
            <w:r>
              <w:rPr>
                <w:rFonts w:ascii="Times New Roman"/>
                <w:bCs/>
                <w:szCs w:val="21"/>
              </w:rPr>
              <w:t>m</w:t>
            </w:r>
            <w:r>
              <w:rPr>
                <w:rFonts w:ascii="Times New Roman"/>
                <w:bCs/>
                <w:szCs w:val="21"/>
                <w:vertAlign w:val="superscript"/>
              </w:rPr>
              <w:t>3</w:t>
            </w:r>
          </w:p>
        </w:tc>
        <w:tc>
          <w:tcPr>
            <w:tcW w:w="2551" w:type="dxa"/>
          </w:tcPr>
          <w:p w14:paraId="2CA8EC8C">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678772BA">
            <w:pPr>
              <w:pStyle w:val="28"/>
              <w:tabs>
                <w:tab w:val="clear" w:pos="4201"/>
                <w:tab w:val="clear" w:pos="9298"/>
              </w:tabs>
              <w:spacing w:line="360" w:lineRule="auto"/>
              <w:ind w:firstLine="0" w:firstLineChars="0"/>
              <w:jc w:val="center"/>
              <w:rPr>
                <w:rFonts w:ascii="Times New Roman" w:eastAsia="黑体"/>
                <w:szCs w:val="18"/>
              </w:rPr>
            </w:pPr>
          </w:p>
        </w:tc>
      </w:tr>
      <w:tr w14:paraId="6E34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Pr>
          <w:p w14:paraId="5BA0DC26">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燃油</w:t>
            </w:r>
          </w:p>
        </w:tc>
        <w:tc>
          <w:tcPr>
            <w:tcW w:w="2621" w:type="dxa"/>
          </w:tcPr>
          <w:p w14:paraId="452A95FD">
            <w:pPr>
              <w:pStyle w:val="28"/>
              <w:tabs>
                <w:tab w:val="clear" w:pos="4201"/>
                <w:tab w:val="clear" w:pos="9298"/>
              </w:tabs>
              <w:spacing w:line="360" w:lineRule="auto"/>
              <w:ind w:firstLine="0" w:firstLineChars="0"/>
              <w:jc w:val="right"/>
              <w:rPr>
                <w:rFonts w:ascii="Times New Roman" w:eastAsia="黑体"/>
                <w:szCs w:val="18"/>
              </w:rPr>
            </w:pPr>
            <w:r>
              <w:rPr>
                <w:rFonts w:ascii="Times New Roman"/>
                <w:bCs/>
                <w:szCs w:val="21"/>
              </w:rPr>
              <w:t>t</w:t>
            </w:r>
          </w:p>
        </w:tc>
        <w:tc>
          <w:tcPr>
            <w:tcW w:w="2551" w:type="dxa"/>
          </w:tcPr>
          <w:p w14:paraId="0DC8F23D">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7101D424">
            <w:pPr>
              <w:pStyle w:val="28"/>
              <w:tabs>
                <w:tab w:val="clear" w:pos="4201"/>
                <w:tab w:val="clear" w:pos="9298"/>
              </w:tabs>
              <w:spacing w:line="360" w:lineRule="auto"/>
              <w:ind w:firstLine="0" w:firstLineChars="0"/>
              <w:jc w:val="center"/>
              <w:rPr>
                <w:rFonts w:ascii="Times New Roman" w:eastAsia="黑体"/>
                <w:szCs w:val="18"/>
              </w:rPr>
            </w:pPr>
          </w:p>
        </w:tc>
      </w:tr>
      <w:tr w14:paraId="6AF4E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14:paraId="69B817EC">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燃煤</w:t>
            </w:r>
          </w:p>
        </w:tc>
        <w:tc>
          <w:tcPr>
            <w:tcW w:w="2621" w:type="dxa"/>
          </w:tcPr>
          <w:p w14:paraId="567A9DD0">
            <w:pPr>
              <w:pStyle w:val="28"/>
              <w:tabs>
                <w:tab w:val="clear" w:pos="4201"/>
                <w:tab w:val="clear" w:pos="9298"/>
              </w:tabs>
              <w:spacing w:line="360" w:lineRule="auto"/>
              <w:ind w:firstLine="0" w:firstLineChars="0"/>
              <w:jc w:val="right"/>
              <w:rPr>
                <w:rFonts w:ascii="Times New Roman" w:eastAsia="黑体"/>
                <w:szCs w:val="18"/>
              </w:rPr>
            </w:pPr>
            <w:r>
              <w:rPr>
                <w:rFonts w:ascii="Times New Roman"/>
                <w:bCs/>
                <w:szCs w:val="21"/>
              </w:rPr>
              <w:t>t</w:t>
            </w:r>
          </w:p>
        </w:tc>
        <w:tc>
          <w:tcPr>
            <w:tcW w:w="2551" w:type="dxa"/>
          </w:tcPr>
          <w:p w14:paraId="39050FAD">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123734E5">
            <w:pPr>
              <w:pStyle w:val="28"/>
              <w:tabs>
                <w:tab w:val="clear" w:pos="4201"/>
                <w:tab w:val="clear" w:pos="9298"/>
              </w:tabs>
              <w:spacing w:line="360" w:lineRule="auto"/>
              <w:ind w:firstLine="0" w:firstLineChars="0"/>
              <w:jc w:val="center"/>
              <w:rPr>
                <w:rFonts w:ascii="Times New Roman" w:eastAsia="黑体"/>
                <w:szCs w:val="18"/>
              </w:rPr>
            </w:pPr>
          </w:p>
        </w:tc>
      </w:tr>
      <w:tr w14:paraId="48A2F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14:paraId="517D4F0F">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热力</w:t>
            </w:r>
          </w:p>
        </w:tc>
        <w:tc>
          <w:tcPr>
            <w:tcW w:w="2621" w:type="dxa"/>
          </w:tcPr>
          <w:p w14:paraId="4F4ECF23">
            <w:pPr>
              <w:pStyle w:val="28"/>
              <w:tabs>
                <w:tab w:val="clear" w:pos="4201"/>
                <w:tab w:val="clear" w:pos="9298"/>
              </w:tabs>
              <w:spacing w:line="360" w:lineRule="auto"/>
              <w:ind w:firstLine="0" w:firstLineChars="0"/>
              <w:jc w:val="right"/>
              <w:rPr>
                <w:rFonts w:ascii="Times New Roman" w:eastAsia="黑体"/>
                <w:szCs w:val="18"/>
              </w:rPr>
            </w:pPr>
            <w:r>
              <w:rPr>
                <w:rFonts w:ascii="Times New Roman"/>
                <w:bCs/>
                <w:szCs w:val="21"/>
              </w:rPr>
              <w:t>GJ</w:t>
            </w:r>
          </w:p>
        </w:tc>
        <w:tc>
          <w:tcPr>
            <w:tcW w:w="2551" w:type="dxa"/>
          </w:tcPr>
          <w:p w14:paraId="1D6D3FA5">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032F4CD3">
            <w:pPr>
              <w:pStyle w:val="28"/>
              <w:tabs>
                <w:tab w:val="clear" w:pos="4201"/>
                <w:tab w:val="clear" w:pos="9298"/>
              </w:tabs>
              <w:spacing w:line="360" w:lineRule="auto"/>
              <w:ind w:firstLine="0" w:firstLineChars="0"/>
              <w:jc w:val="center"/>
              <w:rPr>
                <w:rFonts w:ascii="Times New Roman" w:eastAsia="黑体"/>
                <w:szCs w:val="18"/>
              </w:rPr>
            </w:pPr>
          </w:p>
        </w:tc>
      </w:tr>
    </w:tbl>
    <w:p w14:paraId="15F4AC22">
      <w:pPr>
        <w:pStyle w:val="28"/>
        <w:tabs>
          <w:tab w:val="clear" w:pos="4201"/>
          <w:tab w:val="clear" w:pos="9298"/>
        </w:tabs>
        <w:spacing w:line="360" w:lineRule="auto"/>
        <w:jc w:val="center"/>
        <w:rPr>
          <w:rFonts w:ascii="Times New Roman" w:eastAsia="黑体"/>
        </w:rPr>
      </w:pPr>
    </w:p>
    <w:p w14:paraId="3B4B3293">
      <w:pPr>
        <w:pStyle w:val="28"/>
        <w:tabs>
          <w:tab w:val="clear" w:pos="4201"/>
          <w:tab w:val="clear" w:pos="9298"/>
        </w:tabs>
        <w:spacing w:line="360" w:lineRule="auto"/>
        <w:jc w:val="center"/>
        <w:rPr>
          <w:rFonts w:ascii="Times New Roman" w:eastAsia="黑体"/>
        </w:rPr>
      </w:pPr>
      <w:r>
        <w:rPr>
          <w:rFonts w:ascii="Times New Roman" w:eastAsia="黑体"/>
        </w:rPr>
        <w:t>表B.3 分销阶段的数据收集表</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0"/>
        <w:gridCol w:w="1257"/>
        <w:gridCol w:w="1701"/>
        <w:gridCol w:w="1559"/>
        <w:gridCol w:w="1701"/>
        <w:gridCol w:w="1836"/>
      </w:tblGrid>
      <w:tr w14:paraId="54B8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gridSpan w:val="2"/>
            <w:tcBorders>
              <w:bottom w:val="single" w:color="auto" w:sz="4" w:space="0"/>
            </w:tcBorders>
            <w:vAlign w:val="center"/>
          </w:tcPr>
          <w:p w14:paraId="2C6E7B6A">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运输数量</w:t>
            </w:r>
          </w:p>
        </w:tc>
        <w:tc>
          <w:tcPr>
            <w:tcW w:w="3260" w:type="dxa"/>
            <w:gridSpan w:val="2"/>
          </w:tcPr>
          <w:p w14:paraId="25815FBC">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运输方式</w:t>
            </w:r>
          </w:p>
        </w:tc>
        <w:tc>
          <w:tcPr>
            <w:tcW w:w="1701" w:type="dxa"/>
            <w:vMerge w:val="restart"/>
            <w:vAlign w:val="center"/>
          </w:tcPr>
          <w:p w14:paraId="6F427B0C">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运输距离(km)</w:t>
            </w:r>
          </w:p>
        </w:tc>
        <w:tc>
          <w:tcPr>
            <w:tcW w:w="1836" w:type="dxa"/>
            <w:vMerge w:val="restart"/>
            <w:vAlign w:val="center"/>
          </w:tcPr>
          <w:p w14:paraId="64776DB3">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0007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0" w:type="dxa"/>
            <w:tcBorders>
              <w:top w:val="single" w:color="auto" w:sz="4" w:space="0"/>
              <w:right w:val="single" w:color="auto" w:sz="4" w:space="0"/>
            </w:tcBorders>
            <w:vAlign w:val="center"/>
          </w:tcPr>
          <w:p w14:paraId="4D9C171B">
            <w:pPr>
              <w:pStyle w:val="28"/>
              <w:spacing w:line="360" w:lineRule="auto"/>
              <w:ind w:firstLine="0" w:firstLineChars="0"/>
              <w:jc w:val="center"/>
              <w:rPr>
                <w:rFonts w:ascii="Times New Roman"/>
                <w:b/>
                <w:bCs/>
                <w:szCs w:val="18"/>
              </w:rPr>
            </w:pPr>
            <w:r>
              <w:rPr>
                <w:rFonts w:ascii="Times New Roman"/>
                <w:b/>
                <w:bCs/>
                <w:szCs w:val="18"/>
              </w:rPr>
              <w:t>数量</w:t>
            </w:r>
          </w:p>
        </w:tc>
        <w:tc>
          <w:tcPr>
            <w:tcW w:w="1257" w:type="dxa"/>
            <w:tcBorders>
              <w:top w:val="single" w:color="auto" w:sz="4" w:space="0"/>
              <w:left w:val="single" w:color="auto" w:sz="4" w:space="0"/>
            </w:tcBorders>
            <w:vAlign w:val="center"/>
          </w:tcPr>
          <w:p w14:paraId="0AB63357">
            <w:pPr>
              <w:pStyle w:val="28"/>
              <w:spacing w:line="360" w:lineRule="auto"/>
              <w:ind w:firstLine="0" w:firstLineChars="0"/>
              <w:jc w:val="center"/>
              <w:rPr>
                <w:rFonts w:ascii="Times New Roman"/>
                <w:b/>
                <w:bCs/>
                <w:szCs w:val="18"/>
              </w:rPr>
            </w:pPr>
            <w:r>
              <w:rPr>
                <w:rFonts w:ascii="Times New Roman"/>
                <w:b/>
                <w:bCs/>
                <w:szCs w:val="18"/>
              </w:rPr>
              <w:t>重量</w:t>
            </w:r>
          </w:p>
        </w:tc>
        <w:tc>
          <w:tcPr>
            <w:tcW w:w="1701" w:type="dxa"/>
            <w:tcBorders>
              <w:right w:val="single" w:color="auto" w:sz="4" w:space="0"/>
            </w:tcBorders>
            <w:vAlign w:val="center"/>
          </w:tcPr>
          <w:p w14:paraId="782F512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运输工具</w:t>
            </w:r>
          </w:p>
        </w:tc>
        <w:tc>
          <w:tcPr>
            <w:tcW w:w="1559" w:type="dxa"/>
            <w:tcBorders>
              <w:left w:val="single" w:color="auto" w:sz="4" w:space="0"/>
            </w:tcBorders>
            <w:vAlign w:val="center"/>
          </w:tcPr>
          <w:p w14:paraId="2ADCE6F6">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载重（t）</w:t>
            </w:r>
          </w:p>
        </w:tc>
        <w:tc>
          <w:tcPr>
            <w:tcW w:w="1701" w:type="dxa"/>
            <w:vMerge w:val="continue"/>
          </w:tcPr>
          <w:p w14:paraId="4A485586">
            <w:pPr>
              <w:pStyle w:val="28"/>
              <w:tabs>
                <w:tab w:val="clear" w:pos="4201"/>
                <w:tab w:val="clear" w:pos="9298"/>
              </w:tabs>
              <w:spacing w:line="360" w:lineRule="auto"/>
              <w:ind w:firstLine="0" w:firstLineChars="0"/>
              <w:jc w:val="center"/>
              <w:rPr>
                <w:rFonts w:ascii="Times New Roman"/>
                <w:b/>
                <w:bCs/>
                <w:szCs w:val="18"/>
              </w:rPr>
            </w:pPr>
          </w:p>
        </w:tc>
        <w:tc>
          <w:tcPr>
            <w:tcW w:w="1836" w:type="dxa"/>
            <w:vMerge w:val="continue"/>
          </w:tcPr>
          <w:p w14:paraId="5405DD4E">
            <w:pPr>
              <w:pStyle w:val="28"/>
              <w:tabs>
                <w:tab w:val="clear" w:pos="4201"/>
                <w:tab w:val="clear" w:pos="9298"/>
              </w:tabs>
              <w:spacing w:line="360" w:lineRule="auto"/>
              <w:ind w:firstLine="0" w:firstLineChars="0"/>
              <w:jc w:val="center"/>
              <w:rPr>
                <w:rFonts w:ascii="Times New Roman"/>
                <w:b/>
                <w:bCs/>
                <w:szCs w:val="18"/>
              </w:rPr>
            </w:pPr>
          </w:p>
        </w:tc>
      </w:tr>
      <w:tr w14:paraId="2080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0" w:type="dxa"/>
            <w:tcBorders>
              <w:right w:val="single" w:color="auto" w:sz="4" w:space="0"/>
            </w:tcBorders>
            <w:vAlign w:val="center"/>
          </w:tcPr>
          <w:p w14:paraId="3D711AE8">
            <w:pPr>
              <w:pStyle w:val="28"/>
              <w:tabs>
                <w:tab w:val="clear" w:pos="4201"/>
                <w:tab w:val="clear" w:pos="9298"/>
              </w:tabs>
              <w:spacing w:line="360" w:lineRule="auto"/>
              <w:ind w:firstLine="0" w:firstLineChars="0"/>
              <w:jc w:val="center"/>
              <w:rPr>
                <w:rFonts w:ascii="Times New Roman"/>
                <w:szCs w:val="18"/>
              </w:rPr>
            </w:pPr>
          </w:p>
        </w:tc>
        <w:tc>
          <w:tcPr>
            <w:tcW w:w="1257" w:type="dxa"/>
            <w:tcBorders>
              <w:left w:val="single" w:color="auto" w:sz="4" w:space="0"/>
            </w:tcBorders>
            <w:vAlign w:val="center"/>
          </w:tcPr>
          <w:p w14:paraId="72228891">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vAlign w:val="center"/>
          </w:tcPr>
          <w:p w14:paraId="372203AF">
            <w:pPr>
              <w:pStyle w:val="28"/>
              <w:tabs>
                <w:tab w:val="clear" w:pos="4201"/>
                <w:tab w:val="clear" w:pos="9298"/>
              </w:tabs>
              <w:spacing w:line="360" w:lineRule="auto"/>
              <w:ind w:firstLine="0" w:firstLineChars="0"/>
              <w:jc w:val="center"/>
              <w:rPr>
                <w:rFonts w:ascii="Times New Roman" w:eastAsia="黑体"/>
                <w:szCs w:val="18"/>
              </w:rPr>
            </w:pPr>
            <w:r>
              <w:rPr>
                <w:rFonts w:ascii="Times New Roman"/>
                <w:szCs w:val="18"/>
              </w:rPr>
              <w:t>汽油货车</w:t>
            </w:r>
          </w:p>
        </w:tc>
        <w:tc>
          <w:tcPr>
            <w:tcW w:w="1559" w:type="dxa"/>
            <w:tcBorders>
              <w:left w:val="single" w:color="auto" w:sz="4" w:space="0"/>
            </w:tcBorders>
            <w:vAlign w:val="center"/>
          </w:tcPr>
          <w:p w14:paraId="03F717F1">
            <w:pPr>
              <w:pStyle w:val="28"/>
              <w:tabs>
                <w:tab w:val="clear" w:pos="4201"/>
                <w:tab w:val="clear" w:pos="9298"/>
              </w:tabs>
              <w:spacing w:line="360" w:lineRule="auto"/>
              <w:ind w:firstLine="0" w:firstLineChars="0"/>
              <w:jc w:val="center"/>
              <w:rPr>
                <w:rFonts w:ascii="Times New Roman" w:eastAsia="黑体"/>
                <w:szCs w:val="18"/>
              </w:rPr>
            </w:pPr>
          </w:p>
        </w:tc>
        <w:tc>
          <w:tcPr>
            <w:tcW w:w="1701" w:type="dxa"/>
          </w:tcPr>
          <w:p w14:paraId="2EF41C67">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65F26E5D">
            <w:pPr>
              <w:pStyle w:val="28"/>
              <w:tabs>
                <w:tab w:val="clear" w:pos="4201"/>
                <w:tab w:val="clear" w:pos="9298"/>
              </w:tabs>
              <w:spacing w:line="360" w:lineRule="auto"/>
              <w:ind w:firstLine="0" w:firstLineChars="0"/>
              <w:jc w:val="center"/>
              <w:rPr>
                <w:rFonts w:ascii="Times New Roman" w:eastAsia="黑体"/>
                <w:szCs w:val="18"/>
              </w:rPr>
            </w:pPr>
          </w:p>
        </w:tc>
      </w:tr>
      <w:tr w14:paraId="679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0" w:type="dxa"/>
            <w:tcBorders>
              <w:right w:val="single" w:color="auto" w:sz="4" w:space="0"/>
            </w:tcBorders>
            <w:vAlign w:val="center"/>
          </w:tcPr>
          <w:p w14:paraId="06B449C2">
            <w:pPr>
              <w:pStyle w:val="28"/>
              <w:tabs>
                <w:tab w:val="clear" w:pos="4201"/>
                <w:tab w:val="clear" w:pos="9298"/>
              </w:tabs>
              <w:spacing w:line="360" w:lineRule="auto"/>
              <w:ind w:firstLine="0" w:firstLineChars="0"/>
              <w:jc w:val="center"/>
              <w:rPr>
                <w:rFonts w:ascii="Times New Roman"/>
                <w:szCs w:val="18"/>
              </w:rPr>
            </w:pPr>
          </w:p>
        </w:tc>
        <w:tc>
          <w:tcPr>
            <w:tcW w:w="1257" w:type="dxa"/>
            <w:tcBorders>
              <w:left w:val="single" w:color="auto" w:sz="4" w:space="0"/>
            </w:tcBorders>
            <w:vAlign w:val="center"/>
          </w:tcPr>
          <w:p w14:paraId="12022053">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vAlign w:val="center"/>
          </w:tcPr>
          <w:p w14:paraId="4D7E433C">
            <w:pPr>
              <w:pStyle w:val="28"/>
              <w:tabs>
                <w:tab w:val="clear" w:pos="4201"/>
                <w:tab w:val="clear" w:pos="9298"/>
              </w:tabs>
              <w:spacing w:line="360" w:lineRule="auto"/>
              <w:ind w:firstLine="0" w:firstLineChars="0"/>
              <w:jc w:val="center"/>
              <w:rPr>
                <w:rFonts w:ascii="Times New Roman" w:eastAsia="黑体"/>
                <w:szCs w:val="18"/>
              </w:rPr>
            </w:pPr>
          </w:p>
        </w:tc>
        <w:tc>
          <w:tcPr>
            <w:tcW w:w="1559" w:type="dxa"/>
            <w:tcBorders>
              <w:left w:val="single" w:color="auto" w:sz="4" w:space="0"/>
            </w:tcBorders>
            <w:vAlign w:val="center"/>
          </w:tcPr>
          <w:p w14:paraId="00A40B30">
            <w:pPr>
              <w:pStyle w:val="28"/>
              <w:tabs>
                <w:tab w:val="clear" w:pos="4201"/>
                <w:tab w:val="clear" w:pos="9298"/>
              </w:tabs>
              <w:spacing w:line="360" w:lineRule="auto"/>
              <w:ind w:firstLine="0" w:firstLineChars="0"/>
              <w:jc w:val="center"/>
              <w:rPr>
                <w:rFonts w:ascii="Times New Roman" w:eastAsia="黑体"/>
                <w:szCs w:val="18"/>
              </w:rPr>
            </w:pPr>
          </w:p>
        </w:tc>
        <w:tc>
          <w:tcPr>
            <w:tcW w:w="1701" w:type="dxa"/>
          </w:tcPr>
          <w:p w14:paraId="7FE631A1">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3D0AEFB7">
            <w:pPr>
              <w:pStyle w:val="28"/>
              <w:tabs>
                <w:tab w:val="clear" w:pos="4201"/>
                <w:tab w:val="clear" w:pos="9298"/>
              </w:tabs>
              <w:spacing w:line="360" w:lineRule="auto"/>
              <w:ind w:firstLine="0" w:firstLineChars="0"/>
              <w:jc w:val="center"/>
              <w:rPr>
                <w:rFonts w:ascii="Times New Roman" w:eastAsia="黑体"/>
                <w:szCs w:val="18"/>
              </w:rPr>
            </w:pPr>
          </w:p>
        </w:tc>
      </w:tr>
      <w:tr w14:paraId="17F5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0" w:type="dxa"/>
            <w:tcBorders>
              <w:right w:val="single" w:color="auto" w:sz="4" w:space="0"/>
            </w:tcBorders>
            <w:vAlign w:val="center"/>
          </w:tcPr>
          <w:p w14:paraId="4266C4A3">
            <w:pPr>
              <w:pStyle w:val="28"/>
              <w:tabs>
                <w:tab w:val="clear" w:pos="4201"/>
                <w:tab w:val="clear" w:pos="9298"/>
              </w:tabs>
              <w:spacing w:line="360" w:lineRule="auto"/>
              <w:ind w:firstLine="0" w:firstLineChars="0"/>
              <w:jc w:val="center"/>
              <w:rPr>
                <w:rFonts w:ascii="Times New Roman"/>
                <w:szCs w:val="18"/>
              </w:rPr>
            </w:pPr>
          </w:p>
        </w:tc>
        <w:tc>
          <w:tcPr>
            <w:tcW w:w="1257" w:type="dxa"/>
            <w:tcBorders>
              <w:left w:val="single" w:color="auto" w:sz="4" w:space="0"/>
            </w:tcBorders>
            <w:vAlign w:val="center"/>
          </w:tcPr>
          <w:p w14:paraId="29752BBF">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vAlign w:val="center"/>
          </w:tcPr>
          <w:p w14:paraId="7B92714F">
            <w:pPr>
              <w:pStyle w:val="28"/>
              <w:tabs>
                <w:tab w:val="clear" w:pos="4201"/>
                <w:tab w:val="clear" w:pos="9298"/>
              </w:tabs>
              <w:spacing w:line="360" w:lineRule="auto"/>
              <w:ind w:firstLine="0" w:firstLineChars="0"/>
              <w:jc w:val="center"/>
              <w:rPr>
                <w:rFonts w:ascii="Times New Roman" w:eastAsia="黑体"/>
                <w:szCs w:val="18"/>
              </w:rPr>
            </w:pPr>
          </w:p>
        </w:tc>
        <w:tc>
          <w:tcPr>
            <w:tcW w:w="1559" w:type="dxa"/>
            <w:tcBorders>
              <w:left w:val="single" w:color="auto" w:sz="4" w:space="0"/>
            </w:tcBorders>
            <w:vAlign w:val="center"/>
          </w:tcPr>
          <w:p w14:paraId="7FDFDC76">
            <w:pPr>
              <w:pStyle w:val="28"/>
              <w:tabs>
                <w:tab w:val="clear" w:pos="4201"/>
                <w:tab w:val="clear" w:pos="9298"/>
              </w:tabs>
              <w:spacing w:line="360" w:lineRule="auto"/>
              <w:ind w:firstLine="0" w:firstLineChars="0"/>
              <w:jc w:val="center"/>
              <w:rPr>
                <w:rFonts w:ascii="Times New Roman" w:eastAsia="黑体"/>
                <w:szCs w:val="18"/>
              </w:rPr>
            </w:pPr>
          </w:p>
        </w:tc>
        <w:tc>
          <w:tcPr>
            <w:tcW w:w="1701" w:type="dxa"/>
          </w:tcPr>
          <w:p w14:paraId="3C11EA92">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1660BB15">
            <w:pPr>
              <w:pStyle w:val="28"/>
              <w:tabs>
                <w:tab w:val="clear" w:pos="4201"/>
                <w:tab w:val="clear" w:pos="9298"/>
              </w:tabs>
              <w:spacing w:line="360" w:lineRule="auto"/>
              <w:ind w:firstLine="0" w:firstLineChars="0"/>
              <w:jc w:val="center"/>
              <w:rPr>
                <w:rFonts w:ascii="Times New Roman" w:eastAsia="黑体"/>
                <w:szCs w:val="18"/>
              </w:rPr>
            </w:pPr>
          </w:p>
        </w:tc>
      </w:tr>
      <w:tr w14:paraId="57AF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0" w:type="dxa"/>
            <w:tcBorders>
              <w:right w:val="single" w:color="auto" w:sz="4" w:space="0"/>
            </w:tcBorders>
            <w:vAlign w:val="center"/>
          </w:tcPr>
          <w:p w14:paraId="4D800928">
            <w:pPr>
              <w:pStyle w:val="28"/>
              <w:tabs>
                <w:tab w:val="clear" w:pos="4201"/>
                <w:tab w:val="clear" w:pos="9298"/>
              </w:tabs>
              <w:spacing w:line="360" w:lineRule="auto"/>
              <w:ind w:firstLine="0" w:firstLineChars="0"/>
              <w:jc w:val="center"/>
              <w:rPr>
                <w:rFonts w:ascii="Times New Roman"/>
                <w:szCs w:val="18"/>
              </w:rPr>
            </w:pPr>
          </w:p>
        </w:tc>
        <w:tc>
          <w:tcPr>
            <w:tcW w:w="1257" w:type="dxa"/>
            <w:tcBorders>
              <w:left w:val="single" w:color="auto" w:sz="4" w:space="0"/>
            </w:tcBorders>
            <w:vAlign w:val="center"/>
          </w:tcPr>
          <w:p w14:paraId="3CBADCB2">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vAlign w:val="center"/>
          </w:tcPr>
          <w:p w14:paraId="43EC2F21">
            <w:pPr>
              <w:pStyle w:val="28"/>
              <w:tabs>
                <w:tab w:val="clear" w:pos="4201"/>
                <w:tab w:val="clear" w:pos="9298"/>
              </w:tabs>
              <w:spacing w:line="360" w:lineRule="auto"/>
              <w:ind w:firstLine="0" w:firstLineChars="0"/>
              <w:jc w:val="center"/>
              <w:rPr>
                <w:rFonts w:ascii="Times New Roman" w:eastAsia="黑体"/>
                <w:szCs w:val="18"/>
              </w:rPr>
            </w:pPr>
          </w:p>
        </w:tc>
        <w:tc>
          <w:tcPr>
            <w:tcW w:w="1559" w:type="dxa"/>
            <w:tcBorders>
              <w:left w:val="single" w:color="auto" w:sz="4" w:space="0"/>
            </w:tcBorders>
            <w:vAlign w:val="center"/>
          </w:tcPr>
          <w:p w14:paraId="076A49FA">
            <w:pPr>
              <w:pStyle w:val="28"/>
              <w:tabs>
                <w:tab w:val="clear" w:pos="4201"/>
                <w:tab w:val="clear" w:pos="9298"/>
              </w:tabs>
              <w:spacing w:line="360" w:lineRule="auto"/>
              <w:ind w:firstLine="0" w:firstLineChars="0"/>
              <w:jc w:val="center"/>
              <w:rPr>
                <w:rFonts w:ascii="Times New Roman" w:eastAsia="黑体"/>
                <w:szCs w:val="18"/>
              </w:rPr>
            </w:pPr>
          </w:p>
        </w:tc>
        <w:tc>
          <w:tcPr>
            <w:tcW w:w="1701" w:type="dxa"/>
          </w:tcPr>
          <w:p w14:paraId="56D8D888">
            <w:pPr>
              <w:pStyle w:val="28"/>
              <w:tabs>
                <w:tab w:val="clear" w:pos="4201"/>
                <w:tab w:val="clear" w:pos="9298"/>
              </w:tabs>
              <w:spacing w:line="360" w:lineRule="auto"/>
              <w:ind w:firstLine="0" w:firstLineChars="0"/>
              <w:jc w:val="center"/>
              <w:rPr>
                <w:rFonts w:ascii="Times New Roman" w:eastAsia="黑体"/>
                <w:szCs w:val="18"/>
              </w:rPr>
            </w:pPr>
          </w:p>
        </w:tc>
        <w:tc>
          <w:tcPr>
            <w:tcW w:w="1836" w:type="dxa"/>
          </w:tcPr>
          <w:p w14:paraId="57F7C78D">
            <w:pPr>
              <w:pStyle w:val="28"/>
              <w:tabs>
                <w:tab w:val="clear" w:pos="4201"/>
                <w:tab w:val="clear" w:pos="9298"/>
              </w:tabs>
              <w:spacing w:line="360" w:lineRule="auto"/>
              <w:ind w:firstLine="0" w:firstLineChars="0"/>
              <w:jc w:val="center"/>
              <w:rPr>
                <w:rFonts w:ascii="Times New Roman" w:eastAsia="黑体"/>
                <w:szCs w:val="18"/>
              </w:rPr>
            </w:pPr>
          </w:p>
        </w:tc>
      </w:tr>
    </w:tbl>
    <w:p w14:paraId="14E07CBB">
      <w:pPr>
        <w:pStyle w:val="28"/>
        <w:tabs>
          <w:tab w:val="clear" w:pos="4201"/>
          <w:tab w:val="clear" w:pos="9298"/>
        </w:tabs>
        <w:spacing w:line="360" w:lineRule="auto"/>
        <w:jc w:val="center"/>
        <w:rPr>
          <w:rFonts w:ascii="Times New Roman" w:eastAsia="黑体"/>
        </w:rPr>
      </w:pPr>
    </w:p>
    <w:p w14:paraId="359372C8">
      <w:pPr>
        <w:pStyle w:val="28"/>
        <w:tabs>
          <w:tab w:val="clear" w:pos="4201"/>
          <w:tab w:val="clear" w:pos="9298"/>
        </w:tabs>
        <w:spacing w:line="360" w:lineRule="auto"/>
        <w:jc w:val="center"/>
        <w:rPr>
          <w:rFonts w:ascii="Times New Roman" w:eastAsia="黑体"/>
        </w:rPr>
      </w:pPr>
    </w:p>
    <w:p w14:paraId="0C76C8C8">
      <w:pPr>
        <w:pStyle w:val="28"/>
        <w:tabs>
          <w:tab w:val="clear" w:pos="4201"/>
          <w:tab w:val="clear" w:pos="9298"/>
        </w:tabs>
        <w:spacing w:line="360" w:lineRule="auto"/>
        <w:jc w:val="center"/>
        <w:rPr>
          <w:rFonts w:ascii="Times New Roman" w:eastAsia="黑体"/>
        </w:rPr>
      </w:pPr>
      <w:r>
        <w:rPr>
          <w:rFonts w:ascii="Times New Roman" w:eastAsia="黑体"/>
        </w:rPr>
        <w:t>表B.4 使用阶段的数据收集表</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992"/>
        <w:gridCol w:w="1273"/>
        <w:gridCol w:w="993"/>
        <w:gridCol w:w="1274"/>
        <w:gridCol w:w="1134"/>
        <w:gridCol w:w="1282"/>
        <w:gridCol w:w="1268"/>
      </w:tblGrid>
      <w:tr w14:paraId="2AF7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restart"/>
            <w:vAlign w:val="center"/>
          </w:tcPr>
          <w:p w14:paraId="02A5E59F">
            <w:pPr>
              <w:pStyle w:val="28"/>
              <w:spacing w:line="360" w:lineRule="auto"/>
              <w:ind w:firstLine="0" w:firstLineChars="0"/>
              <w:jc w:val="center"/>
              <w:rPr>
                <w:rFonts w:ascii="Times New Roman"/>
                <w:b/>
                <w:bCs/>
                <w:szCs w:val="18"/>
              </w:rPr>
            </w:pPr>
            <w:r>
              <w:rPr>
                <w:rFonts w:ascii="Times New Roman"/>
                <w:b/>
                <w:bCs/>
                <w:szCs w:val="18"/>
              </w:rPr>
              <w:t>安装</w:t>
            </w:r>
          </w:p>
        </w:tc>
        <w:tc>
          <w:tcPr>
            <w:tcW w:w="3258" w:type="dxa"/>
            <w:gridSpan w:val="3"/>
          </w:tcPr>
          <w:p w14:paraId="4C0495DA">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能源类型</w:t>
            </w:r>
          </w:p>
        </w:tc>
        <w:tc>
          <w:tcPr>
            <w:tcW w:w="2408" w:type="dxa"/>
            <w:gridSpan w:val="2"/>
          </w:tcPr>
          <w:p w14:paraId="7A5C8884">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能源消耗量</w:t>
            </w:r>
          </w:p>
        </w:tc>
        <w:tc>
          <w:tcPr>
            <w:tcW w:w="2550" w:type="dxa"/>
            <w:gridSpan w:val="2"/>
          </w:tcPr>
          <w:p w14:paraId="4AEE170E">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4170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6C1952E8">
            <w:pPr>
              <w:pStyle w:val="28"/>
              <w:tabs>
                <w:tab w:val="clear" w:pos="4201"/>
                <w:tab w:val="clear" w:pos="9298"/>
              </w:tabs>
              <w:spacing w:line="360" w:lineRule="auto"/>
              <w:ind w:firstLine="0" w:firstLineChars="0"/>
              <w:jc w:val="center"/>
              <w:rPr>
                <w:rFonts w:ascii="Times New Roman"/>
                <w:szCs w:val="18"/>
              </w:rPr>
            </w:pPr>
          </w:p>
        </w:tc>
        <w:tc>
          <w:tcPr>
            <w:tcW w:w="3258" w:type="dxa"/>
            <w:gridSpan w:val="3"/>
          </w:tcPr>
          <w:p w14:paraId="4EAFE2D1">
            <w:pPr>
              <w:pStyle w:val="28"/>
              <w:tabs>
                <w:tab w:val="clear" w:pos="4201"/>
                <w:tab w:val="clear" w:pos="9298"/>
              </w:tabs>
              <w:spacing w:line="360" w:lineRule="auto"/>
              <w:ind w:firstLine="0" w:firstLineChars="0"/>
              <w:jc w:val="center"/>
              <w:rPr>
                <w:rFonts w:ascii="Times New Roman"/>
                <w:szCs w:val="18"/>
              </w:rPr>
            </w:pPr>
          </w:p>
        </w:tc>
        <w:tc>
          <w:tcPr>
            <w:tcW w:w="2408" w:type="dxa"/>
            <w:gridSpan w:val="2"/>
          </w:tcPr>
          <w:p w14:paraId="471D324D">
            <w:pPr>
              <w:pStyle w:val="28"/>
              <w:tabs>
                <w:tab w:val="clear" w:pos="4201"/>
                <w:tab w:val="clear" w:pos="9298"/>
              </w:tabs>
              <w:spacing w:line="360" w:lineRule="auto"/>
              <w:ind w:firstLine="0" w:firstLineChars="0"/>
              <w:jc w:val="center"/>
              <w:rPr>
                <w:rFonts w:ascii="Times New Roman"/>
                <w:szCs w:val="18"/>
              </w:rPr>
            </w:pPr>
          </w:p>
        </w:tc>
        <w:tc>
          <w:tcPr>
            <w:tcW w:w="2550" w:type="dxa"/>
            <w:gridSpan w:val="2"/>
          </w:tcPr>
          <w:p w14:paraId="461F7FA6">
            <w:pPr>
              <w:pStyle w:val="28"/>
              <w:tabs>
                <w:tab w:val="clear" w:pos="4201"/>
                <w:tab w:val="clear" w:pos="9298"/>
              </w:tabs>
              <w:spacing w:line="360" w:lineRule="auto"/>
              <w:ind w:firstLine="0" w:firstLineChars="0"/>
              <w:jc w:val="center"/>
              <w:rPr>
                <w:rFonts w:ascii="Times New Roman"/>
                <w:szCs w:val="18"/>
              </w:rPr>
            </w:pPr>
          </w:p>
        </w:tc>
      </w:tr>
      <w:tr w14:paraId="3DA5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7CDC6AF0">
            <w:pPr>
              <w:pStyle w:val="28"/>
              <w:tabs>
                <w:tab w:val="clear" w:pos="4201"/>
                <w:tab w:val="clear" w:pos="9298"/>
              </w:tabs>
              <w:spacing w:line="360" w:lineRule="auto"/>
              <w:ind w:firstLine="0" w:firstLineChars="0"/>
              <w:jc w:val="center"/>
              <w:rPr>
                <w:rFonts w:ascii="Times New Roman"/>
                <w:szCs w:val="18"/>
              </w:rPr>
            </w:pPr>
          </w:p>
        </w:tc>
        <w:tc>
          <w:tcPr>
            <w:tcW w:w="3258" w:type="dxa"/>
            <w:gridSpan w:val="3"/>
          </w:tcPr>
          <w:p w14:paraId="2EFF836E">
            <w:pPr>
              <w:pStyle w:val="28"/>
              <w:tabs>
                <w:tab w:val="clear" w:pos="4201"/>
                <w:tab w:val="clear" w:pos="9298"/>
              </w:tabs>
              <w:spacing w:line="360" w:lineRule="auto"/>
              <w:ind w:firstLine="0" w:firstLineChars="0"/>
              <w:jc w:val="center"/>
              <w:rPr>
                <w:rFonts w:ascii="Times New Roman"/>
                <w:szCs w:val="18"/>
              </w:rPr>
            </w:pPr>
          </w:p>
        </w:tc>
        <w:tc>
          <w:tcPr>
            <w:tcW w:w="2408" w:type="dxa"/>
            <w:gridSpan w:val="2"/>
          </w:tcPr>
          <w:p w14:paraId="1B61F1BF">
            <w:pPr>
              <w:pStyle w:val="28"/>
              <w:tabs>
                <w:tab w:val="clear" w:pos="4201"/>
                <w:tab w:val="clear" w:pos="9298"/>
              </w:tabs>
              <w:spacing w:line="360" w:lineRule="auto"/>
              <w:ind w:firstLine="0" w:firstLineChars="0"/>
              <w:jc w:val="center"/>
              <w:rPr>
                <w:rFonts w:ascii="Times New Roman"/>
                <w:szCs w:val="18"/>
              </w:rPr>
            </w:pPr>
          </w:p>
        </w:tc>
        <w:tc>
          <w:tcPr>
            <w:tcW w:w="2550" w:type="dxa"/>
            <w:gridSpan w:val="2"/>
          </w:tcPr>
          <w:p w14:paraId="1783FD9D">
            <w:pPr>
              <w:pStyle w:val="28"/>
              <w:tabs>
                <w:tab w:val="clear" w:pos="4201"/>
                <w:tab w:val="clear" w:pos="9298"/>
              </w:tabs>
              <w:spacing w:line="360" w:lineRule="auto"/>
              <w:ind w:firstLine="0" w:firstLineChars="0"/>
              <w:jc w:val="center"/>
              <w:rPr>
                <w:rFonts w:ascii="Times New Roman"/>
                <w:szCs w:val="18"/>
              </w:rPr>
            </w:pPr>
          </w:p>
        </w:tc>
      </w:tr>
      <w:tr w14:paraId="689A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restart"/>
            <w:vAlign w:val="center"/>
          </w:tcPr>
          <w:p w14:paraId="1E864B31">
            <w:pPr>
              <w:pStyle w:val="28"/>
              <w:ind w:firstLine="0" w:firstLineChars="0"/>
              <w:jc w:val="center"/>
              <w:rPr>
                <w:rFonts w:ascii="Times New Roman"/>
                <w:b/>
                <w:bCs/>
                <w:szCs w:val="18"/>
              </w:rPr>
            </w:pPr>
            <w:r>
              <w:rPr>
                <w:rFonts w:ascii="Times New Roman"/>
                <w:b/>
                <w:bCs/>
                <w:szCs w:val="18"/>
              </w:rPr>
              <w:t>使用</w:t>
            </w:r>
          </w:p>
        </w:tc>
        <w:tc>
          <w:tcPr>
            <w:tcW w:w="992" w:type="dxa"/>
            <w:vAlign w:val="center"/>
          </w:tcPr>
          <w:p w14:paraId="20FF69AC">
            <w:pPr>
              <w:pStyle w:val="28"/>
              <w:tabs>
                <w:tab w:val="clear" w:pos="4201"/>
                <w:tab w:val="clear" w:pos="9298"/>
              </w:tabs>
              <w:ind w:firstLine="0" w:firstLineChars="0"/>
              <w:jc w:val="center"/>
              <w:rPr>
                <w:rFonts w:ascii="Times New Roman"/>
                <w:b/>
                <w:bCs/>
                <w:szCs w:val="18"/>
              </w:rPr>
            </w:pPr>
            <w:r>
              <w:rPr>
                <w:rFonts w:ascii="Times New Roman"/>
                <w:b/>
                <w:bCs/>
                <w:szCs w:val="18"/>
              </w:rPr>
              <w:t>功率</w:t>
            </w:r>
          </w:p>
        </w:tc>
        <w:tc>
          <w:tcPr>
            <w:tcW w:w="1273" w:type="dxa"/>
            <w:vAlign w:val="center"/>
          </w:tcPr>
          <w:p w14:paraId="61882A39">
            <w:pPr>
              <w:pStyle w:val="28"/>
              <w:tabs>
                <w:tab w:val="clear" w:pos="4201"/>
                <w:tab w:val="clear" w:pos="9298"/>
              </w:tabs>
              <w:ind w:firstLine="0" w:firstLineChars="0"/>
              <w:jc w:val="center"/>
              <w:rPr>
                <w:rFonts w:ascii="Times New Roman"/>
                <w:b/>
                <w:bCs/>
                <w:szCs w:val="18"/>
              </w:rPr>
            </w:pPr>
            <w:r>
              <w:rPr>
                <w:rFonts w:ascii="Times New Roman"/>
                <w:b/>
                <w:bCs/>
                <w:szCs w:val="18"/>
              </w:rPr>
              <w:t>风量/水量</w:t>
            </w:r>
          </w:p>
        </w:tc>
        <w:tc>
          <w:tcPr>
            <w:tcW w:w="993" w:type="dxa"/>
            <w:vAlign w:val="center"/>
          </w:tcPr>
          <w:p w14:paraId="0185C148">
            <w:pPr>
              <w:pStyle w:val="28"/>
              <w:tabs>
                <w:tab w:val="clear" w:pos="4201"/>
                <w:tab w:val="clear" w:pos="9298"/>
              </w:tabs>
              <w:ind w:firstLine="0" w:firstLineChars="0"/>
              <w:jc w:val="center"/>
              <w:rPr>
                <w:rFonts w:ascii="Times New Roman"/>
                <w:b/>
                <w:bCs/>
                <w:szCs w:val="18"/>
              </w:rPr>
            </w:pPr>
            <w:r>
              <w:rPr>
                <w:rFonts w:ascii="Times New Roman"/>
                <w:b/>
                <w:bCs/>
                <w:szCs w:val="18"/>
              </w:rPr>
              <w:t>阻力</w:t>
            </w:r>
          </w:p>
        </w:tc>
        <w:tc>
          <w:tcPr>
            <w:tcW w:w="1274" w:type="dxa"/>
            <w:vAlign w:val="center"/>
          </w:tcPr>
          <w:p w14:paraId="035499D0">
            <w:pPr>
              <w:pStyle w:val="28"/>
              <w:tabs>
                <w:tab w:val="clear" w:pos="4201"/>
                <w:tab w:val="clear" w:pos="9298"/>
              </w:tabs>
              <w:ind w:firstLine="0" w:firstLineChars="0"/>
              <w:jc w:val="center"/>
              <w:rPr>
                <w:rFonts w:ascii="Times New Roman"/>
                <w:b/>
                <w:bCs/>
                <w:szCs w:val="18"/>
              </w:rPr>
            </w:pPr>
            <w:r>
              <w:rPr>
                <w:rFonts w:ascii="Times New Roman"/>
                <w:b/>
                <w:bCs/>
                <w:szCs w:val="18"/>
              </w:rPr>
              <w:t>每天使用小时数</w:t>
            </w:r>
          </w:p>
        </w:tc>
        <w:tc>
          <w:tcPr>
            <w:tcW w:w="1134" w:type="dxa"/>
            <w:vAlign w:val="center"/>
          </w:tcPr>
          <w:p w14:paraId="5F9D6BF2">
            <w:pPr>
              <w:pStyle w:val="28"/>
              <w:tabs>
                <w:tab w:val="clear" w:pos="4201"/>
                <w:tab w:val="clear" w:pos="9298"/>
              </w:tabs>
              <w:ind w:firstLine="0" w:firstLineChars="0"/>
              <w:jc w:val="center"/>
              <w:rPr>
                <w:rFonts w:ascii="Times New Roman"/>
                <w:b/>
                <w:bCs/>
                <w:szCs w:val="18"/>
              </w:rPr>
            </w:pPr>
            <w:r>
              <w:rPr>
                <w:rFonts w:ascii="Times New Roman"/>
                <w:b/>
                <w:bCs/>
                <w:szCs w:val="18"/>
              </w:rPr>
              <w:t>每年使用天数</w:t>
            </w:r>
          </w:p>
        </w:tc>
        <w:tc>
          <w:tcPr>
            <w:tcW w:w="1282" w:type="dxa"/>
            <w:tcBorders>
              <w:right w:val="single" w:color="auto" w:sz="4" w:space="0"/>
            </w:tcBorders>
            <w:vAlign w:val="center"/>
          </w:tcPr>
          <w:p w14:paraId="35430EC6">
            <w:pPr>
              <w:pStyle w:val="28"/>
              <w:tabs>
                <w:tab w:val="clear" w:pos="4201"/>
                <w:tab w:val="clear" w:pos="9298"/>
              </w:tabs>
              <w:ind w:firstLine="0" w:firstLineChars="0"/>
              <w:jc w:val="center"/>
              <w:rPr>
                <w:rFonts w:ascii="Times New Roman"/>
                <w:b/>
                <w:bCs/>
                <w:szCs w:val="18"/>
              </w:rPr>
            </w:pPr>
            <w:r>
              <w:rPr>
                <w:rFonts w:ascii="Times New Roman"/>
                <w:b/>
                <w:bCs/>
                <w:szCs w:val="18"/>
              </w:rPr>
              <w:t>产品寿命</w:t>
            </w:r>
          </w:p>
        </w:tc>
        <w:tc>
          <w:tcPr>
            <w:tcW w:w="1268" w:type="dxa"/>
            <w:tcBorders>
              <w:left w:val="single" w:color="auto" w:sz="4" w:space="0"/>
            </w:tcBorders>
            <w:vAlign w:val="center"/>
          </w:tcPr>
          <w:p w14:paraId="6A473C52">
            <w:pPr>
              <w:pStyle w:val="28"/>
              <w:tabs>
                <w:tab w:val="clear" w:pos="4201"/>
                <w:tab w:val="clear" w:pos="9298"/>
              </w:tabs>
              <w:ind w:firstLine="0" w:firstLineChars="0"/>
              <w:jc w:val="center"/>
              <w:rPr>
                <w:rFonts w:ascii="Times New Roman"/>
                <w:b/>
                <w:bCs/>
                <w:szCs w:val="18"/>
              </w:rPr>
            </w:pPr>
            <w:r>
              <w:rPr>
                <w:rFonts w:ascii="Times New Roman"/>
                <w:b/>
                <w:bCs/>
                <w:szCs w:val="18"/>
              </w:rPr>
              <w:t>数据来源</w:t>
            </w:r>
          </w:p>
        </w:tc>
      </w:tr>
      <w:tr w14:paraId="2844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248147DA">
            <w:pPr>
              <w:pStyle w:val="28"/>
              <w:tabs>
                <w:tab w:val="clear" w:pos="4201"/>
                <w:tab w:val="clear" w:pos="9298"/>
              </w:tabs>
              <w:spacing w:line="360" w:lineRule="auto"/>
              <w:ind w:firstLine="0" w:firstLineChars="0"/>
              <w:jc w:val="center"/>
              <w:rPr>
                <w:rFonts w:ascii="Times New Roman"/>
                <w:szCs w:val="18"/>
              </w:rPr>
            </w:pPr>
          </w:p>
        </w:tc>
        <w:tc>
          <w:tcPr>
            <w:tcW w:w="992" w:type="dxa"/>
          </w:tcPr>
          <w:p w14:paraId="0EAE4A58">
            <w:pPr>
              <w:pStyle w:val="28"/>
              <w:tabs>
                <w:tab w:val="clear" w:pos="4201"/>
                <w:tab w:val="clear" w:pos="9298"/>
              </w:tabs>
              <w:spacing w:line="360" w:lineRule="auto"/>
              <w:ind w:firstLine="0" w:firstLineChars="0"/>
              <w:jc w:val="center"/>
              <w:rPr>
                <w:rFonts w:ascii="Times New Roman"/>
                <w:szCs w:val="18"/>
              </w:rPr>
            </w:pPr>
          </w:p>
        </w:tc>
        <w:tc>
          <w:tcPr>
            <w:tcW w:w="1273" w:type="dxa"/>
          </w:tcPr>
          <w:p w14:paraId="112E2913">
            <w:pPr>
              <w:pStyle w:val="28"/>
              <w:tabs>
                <w:tab w:val="clear" w:pos="4201"/>
                <w:tab w:val="clear" w:pos="9298"/>
              </w:tabs>
              <w:spacing w:line="360" w:lineRule="auto"/>
              <w:ind w:firstLine="0" w:firstLineChars="0"/>
              <w:jc w:val="center"/>
              <w:rPr>
                <w:rFonts w:ascii="Times New Roman"/>
                <w:szCs w:val="18"/>
              </w:rPr>
            </w:pPr>
          </w:p>
        </w:tc>
        <w:tc>
          <w:tcPr>
            <w:tcW w:w="993" w:type="dxa"/>
          </w:tcPr>
          <w:p w14:paraId="4F66C4C5">
            <w:pPr>
              <w:pStyle w:val="28"/>
              <w:tabs>
                <w:tab w:val="clear" w:pos="4201"/>
                <w:tab w:val="clear" w:pos="9298"/>
              </w:tabs>
              <w:spacing w:line="360" w:lineRule="auto"/>
              <w:ind w:firstLine="0" w:firstLineChars="0"/>
              <w:jc w:val="center"/>
              <w:rPr>
                <w:rFonts w:ascii="Times New Roman"/>
                <w:szCs w:val="18"/>
              </w:rPr>
            </w:pPr>
          </w:p>
        </w:tc>
        <w:tc>
          <w:tcPr>
            <w:tcW w:w="1274" w:type="dxa"/>
          </w:tcPr>
          <w:p w14:paraId="34979940">
            <w:pPr>
              <w:pStyle w:val="28"/>
              <w:tabs>
                <w:tab w:val="clear" w:pos="4201"/>
                <w:tab w:val="clear" w:pos="9298"/>
              </w:tabs>
              <w:spacing w:line="360" w:lineRule="auto"/>
              <w:ind w:firstLine="0" w:firstLineChars="0"/>
              <w:jc w:val="center"/>
              <w:rPr>
                <w:rFonts w:ascii="Times New Roman"/>
                <w:szCs w:val="18"/>
              </w:rPr>
            </w:pPr>
          </w:p>
        </w:tc>
        <w:tc>
          <w:tcPr>
            <w:tcW w:w="1134" w:type="dxa"/>
          </w:tcPr>
          <w:p w14:paraId="36DF045E">
            <w:pPr>
              <w:pStyle w:val="28"/>
              <w:tabs>
                <w:tab w:val="clear" w:pos="4201"/>
                <w:tab w:val="clear" w:pos="9298"/>
              </w:tabs>
              <w:spacing w:line="360" w:lineRule="auto"/>
              <w:ind w:firstLine="0" w:firstLineChars="0"/>
              <w:jc w:val="center"/>
              <w:rPr>
                <w:rFonts w:ascii="Times New Roman"/>
                <w:szCs w:val="18"/>
              </w:rPr>
            </w:pPr>
          </w:p>
        </w:tc>
        <w:tc>
          <w:tcPr>
            <w:tcW w:w="1282" w:type="dxa"/>
            <w:tcBorders>
              <w:right w:val="single" w:color="auto" w:sz="4" w:space="0"/>
            </w:tcBorders>
          </w:tcPr>
          <w:p w14:paraId="24B75501">
            <w:pPr>
              <w:pStyle w:val="28"/>
              <w:tabs>
                <w:tab w:val="clear" w:pos="4201"/>
                <w:tab w:val="clear" w:pos="9298"/>
              </w:tabs>
              <w:spacing w:line="360" w:lineRule="auto"/>
              <w:ind w:firstLine="0" w:firstLineChars="0"/>
              <w:jc w:val="center"/>
              <w:rPr>
                <w:rFonts w:ascii="Times New Roman"/>
                <w:szCs w:val="18"/>
              </w:rPr>
            </w:pPr>
          </w:p>
        </w:tc>
        <w:tc>
          <w:tcPr>
            <w:tcW w:w="1268" w:type="dxa"/>
            <w:tcBorders>
              <w:left w:val="single" w:color="auto" w:sz="4" w:space="0"/>
            </w:tcBorders>
          </w:tcPr>
          <w:p w14:paraId="565B5980">
            <w:pPr>
              <w:pStyle w:val="28"/>
              <w:tabs>
                <w:tab w:val="clear" w:pos="4201"/>
                <w:tab w:val="clear" w:pos="9298"/>
              </w:tabs>
              <w:spacing w:line="360" w:lineRule="auto"/>
              <w:ind w:firstLine="0" w:firstLineChars="0"/>
              <w:jc w:val="center"/>
              <w:rPr>
                <w:rFonts w:ascii="Times New Roman"/>
                <w:szCs w:val="18"/>
              </w:rPr>
            </w:pPr>
          </w:p>
        </w:tc>
      </w:tr>
      <w:tr w14:paraId="4D26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78940E61">
            <w:pPr>
              <w:pStyle w:val="28"/>
              <w:tabs>
                <w:tab w:val="clear" w:pos="4201"/>
                <w:tab w:val="clear" w:pos="9298"/>
              </w:tabs>
              <w:spacing w:line="360" w:lineRule="auto"/>
              <w:ind w:firstLine="0" w:firstLineChars="0"/>
              <w:jc w:val="center"/>
              <w:rPr>
                <w:rFonts w:ascii="Times New Roman"/>
                <w:szCs w:val="18"/>
              </w:rPr>
            </w:pPr>
          </w:p>
        </w:tc>
        <w:tc>
          <w:tcPr>
            <w:tcW w:w="992" w:type="dxa"/>
          </w:tcPr>
          <w:p w14:paraId="62F89CD1">
            <w:pPr>
              <w:pStyle w:val="28"/>
              <w:tabs>
                <w:tab w:val="clear" w:pos="4201"/>
                <w:tab w:val="clear" w:pos="9298"/>
              </w:tabs>
              <w:spacing w:line="360" w:lineRule="auto"/>
              <w:ind w:firstLine="0" w:firstLineChars="0"/>
              <w:jc w:val="center"/>
              <w:rPr>
                <w:rFonts w:ascii="Times New Roman"/>
                <w:szCs w:val="18"/>
              </w:rPr>
            </w:pPr>
          </w:p>
        </w:tc>
        <w:tc>
          <w:tcPr>
            <w:tcW w:w="1273" w:type="dxa"/>
          </w:tcPr>
          <w:p w14:paraId="76A4E83F">
            <w:pPr>
              <w:pStyle w:val="28"/>
              <w:tabs>
                <w:tab w:val="clear" w:pos="4201"/>
                <w:tab w:val="clear" w:pos="9298"/>
              </w:tabs>
              <w:spacing w:line="360" w:lineRule="auto"/>
              <w:ind w:firstLine="0" w:firstLineChars="0"/>
              <w:jc w:val="center"/>
              <w:rPr>
                <w:rFonts w:ascii="Times New Roman"/>
                <w:szCs w:val="18"/>
              </w:rPr>
            </w:pPr>
          </w:p>
        </w:tc>
        <w:tc>
          <w:tcPr>
            <w:tcW w:w="993" w:type="dxa"/>
          </w:tcPr>
          <w:p w14:paraId="2F6EAF6D">
            <w:pPr>
              <w:pStyle w:val="28"/>
              <w:tabs>
                <w:tab w:val="clear" w:pos="4201"/>
                <w:tab w:val="clear" w:pos="9298"/>
              </w:tabs>
              <w:spacing w:line="360" w:lineRule="auto"/>
              <w:ind w:firstLine="0" w:firstLineChars="0"/>
              <w:jc w:val="center"/>
              <w:rPr>
                <w:rFonts w:ascii="Times New Roman"/>
                <w:szCs w:val="18"/>
              </w:rPr>
            </w:pPr>
          </w:p>
        </w:tc>
        <w:tc>
          <w:tcPr>
            <w:tcW w:w="1274" w:type="dxa"/>
          </w:tcPr>
          <w:p w14:paraId="444CA9DC">
            <w:pPr>
              <w:pStyle w:val="28"/>
              <w:tabs>
                <w:tab w:val="clear" w:pos="4201"/>
                <w:tab w:val="clear" w:pos="9298"/>
              </w:tabs>
              <w:spacing w:line="360" w:lineRule="auto"/>
              <w:ind w:firstLine="0" w:firstLineChars="0"/>
              <w:jc w:val="center"/>
              <w:rPr>
                <w:rFonts w:ascii="Times New Roman"/>
                <w:szCs w:val="18"/>
              </w:rPr>
            </w:pPr>
          </w:p>
        </w:tc>
        <w:tc>
          <w:tcPr>
            <w:tcW w:w="1134" w:type="dxa"/>
          </w:tcPr>
          <w:p w14:paraId="4C1D3EC7">
            <w:pPr>
              <w:pStyle w:val="28"/>
              <w:tabs>
                <w:tab w:val="clear" w:pos="4201"/>
                <w:tab w:val="clear" w:pos="9298"/>
              </w:tabs>
              <w:spacing w:line="360" w:lineRule="auto"/>
              <w:ind w:firstLine="0" w:firstLineChars="0"/>
              <w:jc w:val="center"/>
              <w:rPr>
                <w:rFonts w:ascii="Times New Roman"/>
                <w:szCs w:val="18"/>
              </w:rPr>
            </w:pPr>
          </w:p>
        </w:tc>
        <w:tc>
          <w:tcPr>
            <w:tcW w:w="1282" w:type="dxa"/>
            <w:tcBorders>
              <w:right w:val="single" w:color="auto" w:sz="4" w:space="0"/>
            </w:tcBorders>
          </w:tcPr>
          <w:p w14:paraId="18FE3AAD">
            <w:pPr>
              <w:pStyle w:val="28"/>
              <w:tabs>
                <w:tab w:val="clear" w:pos="4201"/>
                <w:tab w:val="clear" w:pos="9298"/>
              </w:tabs>
              <w:spacing w:line="360" w:lineRule="auto"/>
              <w:ind w:firstLine="0" w:firstLineChars="0"/>
              <w:jc w:val="center"/>
              <w:rPr>
                <w:rFonts w:ascii="Times New Roman"/>
                <w:szCs w:val="18"/>
              </w:rPr>
            </w:pPr>
          </w:p>
        </w:tc>
        <w:tc>
          <w:tcPr>
            <w:tcW w:w="1268" w:type="dxa"/>
            <w:tcBorders>
              <w:left w:val="single" w:color="auto" w:sz="4" w:space="0"/>
            </w:tcBorders>
          </w:tcPr>
          <w:p w14:paraId="6C1DC547">
            <w:pPr>
              <w:pStyle w:val="28"/>
              <w:tabs>
                <w:tab w:val="clear" w:pos="4201"/>
                <w:tab w:val="clear" w:pos="9298"/>
              </w:tabs>
              <w:spacing w:line="360" w:lineRule="auto"/>
              <w:ind w:firstLine="0" w:firstLineChars="0"/>
              <w:jc w:val="center"/>
              <w:rPr>
                <w:rFonts w:ascii="Times New Roman"/>
                <w:szCs w:val="18"/>
              </w:rPr>
            </w:pPr>
          </w:p>
        </w:tc>
      </w:tr>
      <w:tr w14:paraId="7BAC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restart"/>
            <w:vAlign w:val="center"/>
          </w:tcPr>
          <w:p w14:paraId="72641D62">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维护保养</w:t>
            </w:r>
          </w:p>
        </w:tc>
        <w:tc>
          <w:tcPr>
            <w:tcW w:w="2265" w:type="dxa"/>
            <w:gridSpan w:val="2"/>
            <w:vAlign w:val="center"/>
          </w:tcPr>
          <w:p w14:paraId="69D827B5">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耗材名称</w:t>
            </w:r>
          </w:p>
        </w:tc>
        <w:tc>
          <w:tcPr>
            <w:tcW w:w="2267" w:type="dxa"/>
            <w:gridSpan w:val="2"/>
            <w:vAlign w:val="center"/>
          </w:tcPr>
          <w:p w14:paraId="2BA30CF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每年使用数量</w:t>
            </w:r>
          </w:p>
        </w:tc>
        <w:tc>
          <w:tcPr>
            <w:tcW w:w="1134" w:type="dxa"/>
            <w:vAlign w:val="center"/>
          </w:tcPr>
          <w:p w14:paraId="29343D36">
            <w:pPr>
              <w:pStyle w:val="28"/>
              <w:tabs>
                <w:tab w:val="clear" w:pos="4201"/>
                <w:tab w:val="clear" w:pos="9298"/>
              </w:tabs>
              <w:ind w:firstLine="0" w:firstLineChars="0"/>
              <w:jc w:val="center"/>
              <w:rPr>
                <w:rFonts w:ascii="Times New Roman"/>
                <w:b/>
                <w:bCs/>
                <w:szCs w:val="18"/>
              </w:rPr>
            </w:pPr>
            <w:r>
              <w:rPr>
                <w:rFonts w:ascii="Times New Roman"/>
                <w:b/>
                <w:bCs/>
                <w:szCs w:val="18"/>
              </w:rPr>
              <w:t>每年维护能耗</w:t>
            </w:r>
          </w:p>
        </w:tc>
        <w:tc>
          <w:tcPr>
            <w:tcW w:w="1282" w:type="dxa"/>
            <w:tcBorders>
              <w:right w:val="single" w:color="auto" w:sz="4" w:space="0"/>
            </w:tcBorders>
            <w:vAlign w:val="center"/>
          </w:tcPr>
          <w:p w14:paraId="541D1B48">
            <w:pPr>
              <w:pStyle w:val="28"/>
              <w:tabs>
                <w:tab w:val="clear" w:pos="4201"/>
                <w:tab w:val="clear" w:pos="9298"/>
              </w:tabs>
              <w:spacing w:line="360" w:lineRule="auto"/>
              <w:ind w:firstLine="0" w:firstLineChars="0"/>
              <w:jc w:val="center"/>
              <w:rPr>
                <w:rFonts w:ascii="Times New Roman"/>
                <w:szCs w:val="18"/>
              </w:rPr>
            </w:pPr>
            <w:r>
              <w:rPr>
                <w:rFonts w:ascii="Times New Roman"/>
                <w:b/>
                <w:bCs/>
                <w:szCs w:val="18"/>
              </w:rPr>
              <w:t>产品寿命</w:t>
            </w:r>
          </w:p>
        </w:tc>
        <w:tc>
          <w:tcPr>
            <w:tcW w:w="1268" w:type="dxa"/>
            <w:tcBorders>
              <w:left w:val="single" w:color="auto" w:sz="4" w:space="0"/>
            </w:tcBorders>
            <w:vAlign w:val="center"/>
          </w:tcPr>
          <w:p w14:paraId="2D294F27">
            <w:pPr>
              <w:pStyle w:val="28"/>
              <w:tabs>
                <w:tab w:val="clear" w:pos="4201"/>
                <w:tab w:val="clear" w:pos="9298"/>
              </w:tabs>
              <w:spacing w:line="360" w:lineRule="auto"/>
              <w:ind w:firstLine="0" w:firstLineChars="0"/>
              <w:jc w:val="center"/>
              <w:rPr>
                <w:rFonts w:ascii="Times New Roman"/>
                <w:szCs w:val="18"/>
              </w:rPr>
            </w:pPr>
            <w:r>
              <w:rPr>
                <w:rFonts w:ascii="Times New Roman"/>
                <w:b/>
                <w:bCs/>
                <w:szCs w:val="18"/>
              </w:rPr>
              <w:t>数据来源</w:t>
            </w:r>
          </w:p>
        </w:tc>
      </w:tr>
      <w:tr w14:paraId="4C55F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20884089">
            <w:pPr>
              <w:pStyle w:val="28"/>
              <w:tabs>
                <w:tab w:val="clear" w:pos="4201"/>
                <w:tab w:val="clear" w:pos="9298"/>
              </w:tabs>
              <w:spacing w:line="360" w:lineRule="auto"/>
              <w:ind w:firstLine="0" w:firstLineChars="0"/>
              <w:jc w:val="center"/>
              <w:rPr>
                <w:rFonts w:ascii="Times New Roman" w:eastAsia="黑体"/>
                <w:szCs w:val="18"/>
              </w:rPr>
            </w:pPr>
          </w:p>
        </w:tc>
        <w:tc>
          <w:tcPr>
            <w:tcW w:w="2265" w:type="dxa"/>
            <w:gridSpan w:val="2"/>
          </w:tcPr>
          <w:p w14:paraId="31823CFC">
            <w:pPr>
              <w:pStyle w:val="28"/>
              <w:tabs>
                <w:tab w:val="clear" w:pos="4201"/>
                <w:tab w:val="clear" w:pos="9298"/>
              </w:tabs>
              <w:spacing w:line="360" w:lineRule="auto"/>
              <w:ind w:firstLine="0" w:firstLineChars="0"/>
              <w:jc w:val="center"/>
              <w:rPr>
                <w:rFonts w:ascii="Times New Roman" w:eastAsia="黑体"/>
                <w:szCs w:val="18"/>
              </w:rPr>
            </w:pPr>
          </w:p>
        </w:tc>
        <w:tc>
          <w:tcPr>
            <w:tcW w:w="2267" w:type="dxa"/>
            <w:gridSpan w:val="2"/>
          </w:tcPr>
          <w:p w14:paraId="68A63F4A">
            <w:pPr>
              <w:pStyle w:val="28"/>
              <w:tabs>
                <w:tab w:val="clear" w:pos="4201"/>
                <w:tab w:val="clear" w:pos="9298"/>
              </w:tabs>
              <w:spacing w:line="360" w:lineRule="auto"/>
              <w:ind w:firstLine="0" w:firstLineChars="0"/>
              <w:jc w:val="center"/>
              <w:rPr>
                <w:rFonts w:ascii="Times New Roman" w:eastAsia="黑体"/>
                <w:szCs w:val="18"/>
              </w:rPr>
            </w:pPr>
          </w:p>
        </w:tc>
        <w:tc>
          <w:tcPr>
            <w:tcW w:w="1134" w:type="dxa"/>
          </w:tcPr>
          <w:p w14:paraId="4CD6EF5F">
            <w:pPr>
              <w:pStyle w:val="28"/>
              <w:tabs>
                <w:tab w:val="clear" w:pos="4201"/>
                <w:tab w:val="clear" w:pos="9298"/>
              </w:tabs>
              <w:spacing w:line="360" w:lineRule="auto"/>
              <w:ind w:firstLine="0" w:firstLineChars="0"/>
              <w:jc w:val="center"/>
              <w:rPr>
                <w:rFonts w:ascii="Times New Roman" w:eastAsia="黑体"/>
                <w:szCs w:val="18"/>
              </w:rPr>
            </w:pPr>
          </w:p>
        </w:tc>
        <w:tc>
          <w:tcPr>
            <w:tcW w:w="1282" w:type="dxa"/>
            <w:tcBorders>
              <w:right w:val="single" w:color="auto" w:sz="4" w:space="0"/>
            </w:tcBorders>
          </w:tcPr>
          <w:p w14:paraId="6CA9E228">
            <w:pPr>
              <w:pStyle w:val="28"/>
              <w:tabs>
                <w:tab w:val="clear" w:pos="4201"/>
                <w:tab w:val="clear" w:pos="9298"/>
              </w:tabs>
              <w:spacing w:line="360" w:lineRule="auto"/>
              <w:ind w:firstLine="0" w:firstLineChars="0"/>
              <w:jc w:val="center"/>
              <w:rPr>
                <w:rFonts w:ascii="Times New Roman" w:eastAsia="黑体"/>
                <w:szCs w:val="18"/>
              </w:rPr>
            </w:pPr>
          </w:p>
        </w:tc>
        <w:tc>
          <w:tcPr>
            <w:tcW w:w="1268" w:type="dxa"/>
            <w:tcBorders>
              <w:left w:val="single" w:color="auto" w:sz="4" w:space="0"/>
            </w:tcBorders>
          </w:tcPr>
          <w:p w14:paraId="36F34842">
            <w:pPr>
              <w:pStyle w:val="28"/>
              <w:tabs>
                <w:tab w:val="clear" w:pos="4201"/>
                <w:tab w:val="clear" w:pos="9298"/>
              </w:tabs>
              <w:spacing w:line="360" w:lineRule="auto"/>
              <w:ind w:firstLine="0" w:firstLineChars="0"/>
              <w:jc w:val="center"/>
              <w:rPr>
                <w:rFonts w:ascii="Times New Roman" w:eastAsia="黑体"/>
                <w:szCs w:val="18"/>
              </w:rPr>
            </w:pPr>
          </w:p>
        </w:tc>
      </w:tr>
      <w:tr w14:paraId="49727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Merge w:val="continue"/>
          </w:tcPr>
          <w:p w14:paraId="6AE4B17F">
            <w:pPr>
              <w:pStyle w:val="28"/>
              <w:tabs>
                <w:tab w:val="clear" w:pos="4201"/>
                <w:tab w:val="clear" w:pos="9298"/>
              </w:tabs>
              <w:spacing w:line="360" w:lineRule="auto"/>
              <w:ind w:firstLine="0" w:firstLineChars="0"/>
              <w:jc w:val="center"/>
              <w:rPr>
                <w:rFonts w:ascii="Times New Roman" w:eastAsia="黑体"/>
                <w:szCs w:val="18"/>
              </w:rPr>
            </w:pPr>
          </w:p>
        </w:tc>
        <w:tc>
          <w:tcPr>
            <w:tcW w:w="2265" w:type="dxa"/>
            <w:gridSpan w:val="2"/>
          </w:tcPr>
          <w:p w14:paraId="627A3977">
            <w:pPr>
              <w:pStyle w:val="28"/>
              <w:tabs>
                <w:tab w:val="clear" w:pos="4201"/>
                <w:tab w:val="clear" w:pos="9298"/>
              </w:tabs>
              <w:spacing w:line="360" w:lineRule="auto"/>
              <w:ind w:firstLine="0" w:firstLineChars="0"/>
              <w:jc w:val="center"/>
              <w:rPr>
                <w:rFonts w:ascii="Times New Roman" w:eastAsia="黑体"/>
                <w:szCs w:val="18"/>
              </w:rPr>
            </w:pPr>
          </w:p>
        </w:tc>
        <w:tc>
          <w:tcPr>
            <w:tcW w:w="2267" w:type="dxa"/>
            <w:gridSpan w:val="2"/>
          </w:tcPr>
          <w:p w14:paraId="05FB6C77">
            <w:pPr>
              <w:pStyle w:val="28"/>
              <w:tabs>
                <w:tab w:val="clear" w:pos="4201"/>
                <w:tab w:val="clear" w:pos="9298"/>
              </w:tabs>
              <w:spacing w:line="360" w:lineRule="auto"/>
              <w:ind w:firstLine="0" w:firstLineChars="0"/>
              <w:jc w:val="center"/>
              <w:rPr>
                <w:rFonts w:ascii="Times New Roman" w:eastAsia="黑体"/>
                <w:szCs w:val="18"/>
              </w:rPr>
            </w:pPr>
          </w:p>
        </w:tc>
        <w:tc>
          <w:tcPr>
            <w:tcW w:w="1134" w:type="dxa"/>
          </w:tcPr>
          <w:p w14:paraId="197CC9BB">
            <w:pPr>
              <w:pStyle w:val="28"/>
              <w:tabs>
                <w:tab w:val="clear" w:pos="4201"/>
                <w:tab w:val="clear" w:pos="9298"/>
              </w:tabs>
              <w:spacing w:line="360" w:lineRule="auto"/>
              <w:ind w:firstLine="0" w:firstLineChars="0"/>
              <w:jc w:val="center"/>
              <w:rPr>
                <w:rFonts w:ascii="Times New Roman" w:eastAsia="黑体"/>
                <w:szCs w:val="18"/>
              </w:rPr>
            </w:pPr>
          </w:p>
        </w:tc>
        <w:tc>
          <w:tcPr>
            <w:tcW w:w="1282" w:type="dxa"/>
            <w:tcBorders>
              <w:right w:val="single" w:color="auto" w:sz="4" w:space="0"/>
            </w:tcBorders>
          </w:tcPr>
          <w:p w14:paraId="6353BCC2">
            <w:pPr>
              <w:pStyle w:val="28"/>
              <w:tabs>
                <w:tab w:val="clear" w:pos="4201"/>
                <w:tab w:val="clear" w:pos="9298"/>
              </w:tabs>
              <w:spacing w:line="360" w:lineRule="auto"/>
              <w:ind w:firstLine="0" w:firstLineChars="0"/>
              <w:jc w:val="center"/>
              <w:rPr>
                <w:rFonts w:ascii="Times New Roman" w:eastAsia="黑体"/>
                <w:szCs w:val="18"/>
              </w:rPr>
            </w:pPr>
          </w:p>
        </w:tc>
        <w:tc>
          <w:tcPr>
            <w:tcW w:w="1268" w:type="dxa"/>
            <w:tcBorders>
              <w:left w:val="single" w:color="auto" w:sz="4" w:space="0"/>
            </w:tcBorders>
          </w:tcPr>
          <w:p w14:paraId="1E7D56AA">
            <w:pPr>
              <w:pStyle w:val="28"/>
              <w:tabs>
                <w:tab w:val="clear" w:pos="4201"/>
                <w:tab w:val="clear" w:pos="9298"/>
              </w:tabs>
              <w:spacing w:line="360" w:lineRule="auto"/>
              <w:ind w:firstLine="0" w:firstLineChars="0"/>
              <w:jc w:val="center"/>
              <w:rPr>
                <w:rFonts w:ascii="Times New Roman" w:eastAsia="黑体"/>
                <w:szCs w:val="18"/>
              </w:rPr>
            </w:pPr>
          </w:p>
        </w:tc>
      </w:tr>
    </w:tbl>
    <w:p w14:paraId="10D2305C">
      <w:pPr>
        <w:pStyle w:val="28"/>
        <w:tabs>
          <w:tab w:val="clear" w:pos="4201"/>
          <w:tab w:val="clear" w:pos="9298"/>
        </w:tabs>
        <w:spacing w:line="360" w:lineRule="auto"/>
        <w:jc w:val="center"/>
        <w:rPr>
          <w:rFonts w:ascii="Times New Roman" w:eastAsia="黑体"/>
        </w:rPr>
      </w:pPr>
    </w:p>
    <w:p w14:paraId="159811FD">
      <w:pPr>
        <w:pStyle w:val="28"/>
        <w:tabs>
          <w:tab w:val="clear" w:pos="4201"/>
          <w:tab w:val="clear" w:pos="9298"/>
        </w:tabs>
        <w:spacing w:line="360" w:lineRule="auto"/>
        <w:jc w:val="center"/>
        <w:rPr>
          <w:rFonts w:ascii="Times New Roman" w:eastAsia="黑体"/>
        </w:rPr>
      </w:pPr>
      <w:r>
        <w:rPr>
          <w:rFonts w:ascii="Times New Roman" w:eastAsia="黑体"/>
        </w:rPr>
        <w:t>表B.5 生命末期处理阶段的数据收集表</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2552"/>
        <w:gridCol w:w="1701"/>
        <w:gridCol w:w="1484"/>
        <w:gridCol w:w="2336"/>
      </w:tblGrid>
      <w:tr w14:paraId="430E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1" w:type="dxa"/>
            <w:vMerge w:val="restart"/>
            <w:vAlign w:val="center"/>
          </w:tcPr>
          <w:p w14:paraId="0783D345">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废弃</w:t>
            </w:r>
          </w:p>
        </w:tc>
        <w:tc>
          <w:tcPr>
            <w:tcW w:w="2552" w:type="dxa"/>
          </w:tcPr>
          <w:p w14:paraId="674CC0E6">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材料名称</w:t>
            </w:r>
          </w:p>
        </w:tc>
        <w:tc>
          <w:tcPr>
            <w:tcW w:w="1701" w:type="dxa"/>
            <w:tcBorders>
              <w:right w:val="single" w:color="auto" w:sz="4" w:space="0"/>
            </w:tcBorders>
          </w:tcPr>
          <w:p w14:paraId="069138A9">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数量</w:t>
            </w:r>
          </w:p>
        </w:tc>
        <w:tc>
          <w:tcPr>
            <w:tcW w:w="1484" w:type="dxa"/>
            <w:tcBorders>
              <w:left w:val="single" w:color="auto" w:sz="4" w:space="0"/>
            </w:tcBorders>
          </w:tcPr>
          <w:p w14:paraId="07A76C5C">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单位</w:t>
            </w:r>
          </w:p>
        </w:tc>
        <w:tc>
          <w:tcPr>
            <w:tcW w:w="2336" w:type="dxa"/>
          </w:tcPr>
          <w:p w14:paraId="0C375D9A">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2BCA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dxa"/>
            <w:vMerge w:val="continue"/>
            <w:vAlign w:val="center"/>
          </w:tcPr>
          <w:p w14:paraId="1F0CA4D3">
            <w:pPr>
              <w:pStyle w:val="28"/>
              <w:tabs>
                <w:tab w:val="clear" w:pos="4201"/>
                <w:tab w:val="clear" w:pos="9298"/>
              </w:tabs>
              <w:spacing w:line="360" w:lineRule="auto"/>
              <w:ind w:firstLine="0" w:firstLineChars="0"/>
              <w:jc w:val="center"/>
              <w:rPr>
                <w:rFonts w:ascii="Times New Roman"/>
                <w:szCs w:val="18"/>
              </w:rPr>
            </w:pPr>
          </w:p>
        </w:tc>
        <w:tc>
          <w:tcPr>
            <w:tcW w:w="2552" w:type="dxa"/>
          </w:tcPr>
          <w:p w14:paraId="431BFA82">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tcPr>
          <w:p w14:paraId="23662E7C">
            <w:pPr>
              <w:pStyle w:val="28"/>
              <w:tabs>
                <w:tab w:val="clear" w:pos="4201"/>
                <w:tab w:val="clear" w:pos="9298"/>
              </w:tabs>
              <w:spacing w:line="360" w:lineRule="auto"/>
              <w:ind w:firstLine="0" w:firstLineChars="0"/>
              <w:jc w:val="center"/>
              <w:rPr>
                <w:rFonts w:ascii="Times New Roman"/>
                <w:szCs w:val="18"/>
              </w:rPr>
            </w:pPr>
          </w:p>
        </w:tc>
        <w:tc>
          <w:tcPr>
            <w:tcW w:w="1484" w:type="dxa"/>
            <w:tcBorders>
              <w:left w:val="single" w:color="auto" w:sz="4" w:space="0"/>
            </w:tcBorders>
          </w:tcPr>
          <w:p w14:paraId="1F11300E">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2336" w:type="dxa"/>
          </w:tcPr>
          <w:p w14:paraId="22121C0C">
            <w:pPr>
              <w:pStyle w:val="28"/>
              <w:tabs>
                <w:tab w:val="clear" w:pos="4201"/>
                <w:tab w:val="clear" w:pos="9298"/>
              </w:tabs>
              <w:spacing w:line="360" w:lineRule="auto"/>
              <w:ind w:firstLine="0" w:firstLineChars="0"/>
              <w:jc w:val="center"/>
              <w:rPr>
                <w:rFonts w:ascii="Times New Roman"/>
                <w:szCs w:val="18"/>
              </w:rPr>
            </w:pPr>
          </w:p>
        </w:tc>
      </w:tr>
      <w:tr w14:paraId="0FEF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dxa"/>
            <w:vMerge w:val="continue"/>
            <w:vAlign w:val="center"/>
          </w:tcPr>
          <w:p w14:paraId="1B374B02">
            <w:pPr>
              <w:pStyle w:val="28"/>
              <w:tabs>
                <w:tab w:val="clear" w:pos="4201"/>
                <w:tab w:val="clear" w:pos="9298"/>
              </w:tabs>
              <w:spacing w:line="360" w:lineRule="auto"/>
              <w:ind w:firstLine="0" w:firstLineChars="0"/>
              <w:jc w:val="center"/>
              <w:rPr>
                <w:rFonts w:ascii="Times New Roman"/>
                <w:szCs w:val="18"/>
              </w:rPr>
            </w:pPr>
          </w:p>
        </w:tc>
        <w:tc>
          <w:tcPr>
            <w:tcW w:w="2552" w:type="dxa"/>
          </w:tcPr>
          <w:p w14:paraId="3345541C">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tcPr>
          <w:p w14:paraId="05B87B7C">
            <w:pPr>
              <w:pStyle w:val="28"/>
              <w:tabs>
                <w:tab w:val="clear" w:pos="4201"/>
                <w:tab w:val="clear" w:pos="9298"/>
              </w:tabs>
              <w:spacing w:line="360" w:lineRule="auto"/>
              <w:ind w:firstLine="0" w:firstLineChars="0"/>
              <w:jc w:val="center"/>
              <w:rPr>
                <w:rFonts w:ascii="Times New Roman"/>
                <w:szCs w:val="18"/>
              </w:rPr>
            </w:pPr>
          </w:p>
        </w:tc>
        <w:tc>
          <w:tcPr>
            <w:tcW w:w="1484" w:type="dxa"/>
            <w:tcBorders>
              <w:left w:val="single" w:color="auto" w:sz="4" w:space="0"/>
            </w:tcBorders>
          </w:tcPr>
          <w:p w14:paraId="05D94830">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2336" w:type="dxa"/>
          </w:tcPr>
          <w:p w14:paraId="1165F833">
            <w:pPr>
              <w:pStyle w:val="28"/>
              <w:tabs>
                <w:tab w:val="clear" w:pos="4201"/>
                <w:tab w:val="clear" w:pos="9298"/>
              </w:tabs>
              <w:spacing w:line="360" w:lineRule="auto"/>
              <w:ind w:firstLine="0" w:firstLineChars="0"/>
              <w:jc w:val="center"/>
              <w:rPr>
                <w:rFonts w:ascii="Times New Roman"/>
                <w:szCs w:val="18"/>
              </w:rPr>
            </w:pPr>
          </w:p>
        </w:tc>
      </w:tr>
      <w:tr w14:paraId="5A843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dxa"/>
            <w:vMerge w:val="restart"/>
            <w:vAlign w:val="center"/>
          </w:tcPr>
          <w:p w14:paraId="72158C19">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回收</w:t>
            </w:r>
          </w:p>
        </w:tc>
        <w:tc>
          <w:tcPr>
            <w:tcW w:w="2552" w:type="dxa"/>
          </w:tcPr>
          <w:p w14:paraId="3FAC930B">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材料名称</w:t>
            </w:r>
          </w:p>
        </w:tc>
        <w:tc>
          <w:tcPr>
            <w:tcW w:w="1701" w:type="dxa"/>
            <w:tcBorders>
              <w:right w:val="single" w:color="auto" w:sz="4" w:space="0"/>
            </w:tcBorders>
          </w:tcPr>
          <w:p w14:paraId="5A91DF7E">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数量</w:t>
            </w:r>
          </w:p>
        </w:tc>
        <w:tc>
          <w:tcPr>
            <w:tcW w:w="1484" w:type="dxa"/>
            <w:tcBorders>
              <w:left w:val="single" w:color="auto" w:sz="4" w:space="0"/>
            </w:tcBorders>
          </w:tcPr>
          <w:p w14:paraId="0D8E4A02">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单位</w:t>
            </w:r>
          </w:p>
        </w:tc>
        <w:tc>
          <w:tcPr>
            <w:tcW w:w="2336" w:type="dxa"/>
          </w:tcPr>
          <w:p w14:paraId="2937BE17">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4323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dxa"/>
            <w:vMerge w:val="continue"/>
          </w:tcPr>
          <w:p w14:paraId="1E8939E9">
            <w:pPr>
              <w:pStyle w:val="28"/>
              <w:tabs>
                <w:tab w:val="clear" w:pos="4201"/>
                <w:tab w:val="clear" w:pos="9298"/>
              </w:tabs>
              <w:spacing w:line="360" w:lineRule="auto"/>
              <w:ind w:firstLine="0" w:firstLineChars="0"/>
              <w:jc w:val="center"/>
              <w:rPr>
                <w:rFonts w:ascii="Times New Roman"/>
                <w:szCs w:val="18"/>
              </w:rPr>
            </w:pPr>
          </w:p>
        </w:tc>
        <w:tc>
          <w:tcPr>
            <w:tcW w:w="2552" w:type="dxa"/>
          </w:tcPr>
          <w:p w14:paraId="117F6B40">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tcPr>
          <w:p w14:paraId="6042344A">
            <w:pPr>
              <w:pStyle w:val="28"/>
              <w:tabs>
                <w:tab w:val="clear" w:pos="4201"/>
                <w:tab w:val="clear" w:pos="9298"/>
              </w:tabs>
              <w:spacing w:line="360" w:lineRule="auto"/>
              <w:ind w:firstLine="0" w:firstLineChars="0"/>
              <w:jc w:val="center"/>
              <w:rPr>
                <w:rFonts w:ascii="Times New Roman"/>
                <w:szCs w:val="18"/>
              </w:rPr>
            </w:pPr>
          </w:p>
        </w:tc>
        <w:tc>
          <w:tcPr>
            <w:tcW w:w="1484" w:type="dxa"/>
            <w:tcBorders>
              <w:left w:val="single" w:color="auto" w:sz="4" w:space="0"/>
            </w:tcBorders>
          </w:tcPr>
          <w:p w14:paraId="1C2E9E55">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2336" w:type="dxa"/>
          </w:tcPr>
          <w:p w14:paraId="66DCE401">
            <w:pPr>
              <w:pStyle w:val="28"/>
              <w:tabs>
                <w:tab w:val="clear" w:pos="4201"/>
                <w:tab w:val="clear" w:pos="9298"/>
              </w:tabs>
              <w:spacing w:line="360" w:lineRule="auto"/>
              <w:ind w:firstLine="0" w:firstLineChars="0"/>
              <w:jc w:val="center"/>
              <w:rPr>
                <w:rFonts w:ascii="Times New Roman"/>
                <w:szCs w:val="18"/>
              </w:rPr>
            </w:pPr>
          </w:p>
        </w:tc>
      </w:tr>
      <w:tr w14:paraId="216C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dxa"/>
            <w:vMerge w:val="continue"/>
          </w:tcPr>
          <w:p w14:paraId="0838962D">
            <w:pPr>
              <w:pStyle w:val="28"/>
              <w:tabs>
                <w:tab w:val="clear" w:pos="4201"/>
                <w:tab w:val="clear" w:pos="9298"/>
              </w:tabs>
              <w:spacing w:line="360" w:lineRule="auto"/>
              <w:ind w:firstLine="0" w:firstLineChars="0"/>
              <w:jc w:val="center"/>
              <w:rPr>
                <w:rFonts w:ascii="Times New Roman"/>
                <w:szCs w:val="18"/>
              </w:rPr>
            </w:pPr>
          </w:p>
        </w:tc>
        <w:tc>
          <w:tcPr>
            <w:tcW w:w="2552" w:type="dxa"/>
          </w:tcPr>
          <w:p w14:paraId="7DE5FC42">
            <w:pPr>
              <w:pStyle w:val="28"/>
              <w:tabs>
                <w:tab w:val="clear" w:pos="4201"/>
                <w:tab w:val="clear" w:pos="9298"/>
              </w:tabs>
              <w:spacing w:line="360" w:lineRule="auto"/>
              <w:ind w:firstLine="0" w:firstLineChars="0"/>
              <w:jc w:val="center"/>
              <w:rPr>
                <w:rFonts w:ascii="Times New Roman"/>
                <w:szCs w:val="18"/>
              </w:rPr>
            </w:pPr>
          </w:p>
        </w:tc>
        <w:tc>
          <w:tcPr>
            <w:tcW w:w="1701" w:type="dxa"/>
            <w:tcBorders>
              <w:right w:val="single" w:color="auto" w:sz="4" w:space="0"/>
            </w:tcBorders>
          </w:tcPr>
          <w:p w14:paraId="7B0B6DDA">
            <w:pPr>
              <w:pStyle w:val="28"/>
              <w:tabs>
                <w:tab w:val="clear" w:pos="4201"/>
                <w:tab w:val="clear" w:pos="9298"/>
              </w:tabs>
              <w:spacing w:line="360" w:lineRule="auto"/>
              <w:ind w:firstLine="0" w:firstLineChars="0"/>
              <w:jc w:val="center"/>
              <w:rPr>
                <w:rFonts w:ascii="Times New Roman"/>
                <w:szCs w:val="18"/>
              </w:rPr>
            </w:pPr>
          </w:p>
        </w:tc>
        <w:tc>
          <w:tcPr>
            <w:tcW w:w="1484" w:type="dxa"/>
            <w:tcBorders>
              <w:left w:val="single" w:color="auto" w:sz="4" w:space="0"/>
            </w:tcBorders>
          </w:tcPr>
          <w:p w14:paraId="21785709">
            <w:pPr>
              <w:pStyle w:val="28"/>
              <w:tabs>
                <w:tab w:val="clear" w:pos="4201"/>
                <w:tab w:val="clear" w:pos="9298"/>
              </w:tabs>
              <w:spacing w:line="360" w:lineRule="auto"/>
              <w:ind w:firstLine="0" w:firstLineChars="0"/>
              <w:jc w:val="center"/>
              <w:rPr>
                <w:rFonts w:ascii="Times New Roman"/>
                <w:szCs w:val="18"/>
              </w:rPr>
            </w:pPr>
            <w:r>
              <w:rPr>
                <w:rFonts w:ascii="Times New Roman"/>
                <w:szCs w:val="18"/>
              </w:rPr>
              <w:t>kg</w:t>
            </w:r>
          </w:p>
        </w:tc>
        <w:tc>
          <w:tcPr>
            <w:tcW w:w="2336" w:type="dxa"/>
          </w:tcPr>
          <w:p w14:paraId="00824A65">
            <w:pPr>
              <w:pStyle w:val="28"/>
              <w:tabs>
                <w:tab w:val="clear" w:pos="4201"/>
                <w:tab w:val="clear" w:pos="9298"/>
              </w:tabs>
              <w:spacing w:line="360" w:lineRule="auto"/>
              <w:ind w:firstLine="0" w:firstLineChars="0"/>
              <w:jc w:val="center"/>
              <w:rPr>
                <w:rFonts w:ascii="Times New Roman"/>
                <w:szCs w:val="18"/>
              </w:rPr>
            </w:pPr>
          </w:p>
        </w:tc>
      </w:tr>
    </w:tbl>
    <w:p w14:paraId="7366FC17">
      <w:pPr>
        <w:pStyle w:val="28"/>
        <w:tabs>
          <w:tab w:val="clear" w:pos="4201"/>
          <w:tab w:val="clear" w:pos="9298"/>
        </w:tabs>
        <w:spacing w:line="360" w:lineRule="auto"/>
        <w:jc w:val="center"/>
        <w:rPr>
          <w:rFonts w:ascii="Times New Roman" w:eastAsia="黑体"/>
        </w:rPr>
      </w:pPr>
    </w:p>
    <w:p w14:paraId="050732B5">
      <w:pPr>
        <w:pStyle w:val="28"/>
        <w:tabs>
          <w:tab w:val="clear" w:pos="4201"/>
          <w:tab w:val="clear" w:pos="9298"/>
        </w:tabs>
        <w:spacing w:line="360" w:lineRule="auto"/>
        <w:jc w:val="center"/>
        <w:rPr>
          <w:rFonts w:ascii="Times New Roman" w:eastAsia="黑体"/>
        </w:rPr>
      </w:pPr>
    </w:p>
    <w:p w14:paraId="60F3C00D">
      <w:pPr>
        <w:pStyle w:val="28"/>
        <w:tabs>
          <w:tab w:val="clear" w:pos="4201"/>
          <w:tab w:val="clear" w:pos="9298"/>
        </w:tabs>
        <w:spacing w:line="360" w:lineRule="auto"/>
        <w:jc w:val="center"/>
        <w:rPr>
          <w:rFonts w:ascii="Times New Roman" w:eastAsia="黑体"/>
        </w:rPr>
      </w:pPr>
    </w:p>
    <w:p w14:paraId="1FEB80A2">
      <w:pPr>
        <w:pStyle w:val="28"/>
        <w:tabs>
          <w:tab w:val="clear" w:pos="4201"/>
          <w:tab w:val="clear" w:pos="9298"/>
        </w:tabs>
        <w:spacing w:line="360" w:lineRule="auto"/>
        <w:jc w:val="center"/>
        <w:rPr>
          <w:rFonts w:ascii="Times New Roman" w:eastAsia="黑体"/>
        </w:rPr>
      </w:pPr>
    </w:p>
    <w:p w14:paraId="6F666D82">
      <w:pPr>
        <w:pStyle w:val="28"/>
        <w:tabs>
          <w:tab w:val="clear" w:pos="4201"/>
          <w:tab w:val="clear" w:pos="9298"/>
        </w:tabs>
        <w:spacing w:line="360" w:lineRule="auto"/>
        <w:jc w:val="center"/>
        <w:rPr>
          <w:rFonts w:ascii="Times New Roman" w:eastAsia="黑体"/>
        </w:rPr>
      </w:pPr>
    </w:p>
    <w:p w14:paraId="1F1F62D0">
      <w:pPr>
        <w:pStyle w:val="28"/>
        <w:tabs>
          <w:tab w:val="clear" w:pos="4201"/>
          <w:tab w:val="clear" w:pos="9298"/>
        </w:tabs>
        <w:spacing w:line="360" w:lineRule="auto"/>
        <w:jc w:val="center"/>
        <w:rPr>
          <w:rFonts w:ascii="Times New Roman" w:eastAsia="黑体"/>
        </w:rPr>
      </w:pPr>
    </w:p>
    <w:p w14:paraId="37B9F36D">
      <w:pPr>
        <w:pStyle w:val="28"/>
        <w:tabs>
          <w:tab w:val="clear" w:pos="4201"/>
          <w:tab w:val="clear" w:pos="9298"/>
        </w:tabs>
        <w:spacing w:line="360" w:lineRule="auto"/>
        <w:jc w:val="center"/>
        <w:rPr>
          <w:rFonts w:ascii="Times New Roman" w:eastAsia="黑体"/>
        </w:rPr>
      </w:pPr>
    </w:p>
    <w:p w14:paraId="317AECD9">
      <w:pPr>
        <w:pStyle w:val="28"/>
        <w:tabs>
          <w:tab w:val="clear" w:pos="4201"/>
          <w:tab w:val="clear" w:pos="9298"/>
        </w:tabs>
        <w:spacing w:line="360" w:lineRule="auto"/>
        <w:jc w:val="center"/>
        <w:rPr>
          <w:rFonts w:ascii="Times New Roman" w:eastAsia="黑体"/>
        </w:rPr>
      </w:pPr>
    </w:p>
    <w:p w14:paraId="64692940">
      <w:pPr>
        <w:pStyle w:val="28"/>
        <w:tabs>
          <w:tab w:val="clear" w:pos="4201"/>
          <w:tab w:val="clear" w:pos="9298"/>
        </w:tabs>
        <w:spacing w:line="360" w:lineRule="auto"/>
        <w:jc w:val="center"/>
        <w:rPr>
          <w:rFonts w:ascii="Times New Roman" w:eastAsia="黑体"/>
        </w:rPr>
      </w:pPr>
    </w:p>
    <w:p w14:paraId="592F5261">
      <w:pPr>
        <w:pStyle w:val="28"/>
        <w:tabs>
          <w:tab w:val="clear" w:pos="4201"/>
          <w:tab w:val="clear" w:pos="9298"/>
        </w:tabs>
        <w:spacing w:line="360" w:lineRule="auto"/>
        <w:jc w:val="center"/>
        <w:rPr>
          <w:rFonts w:ascii="Times New Roman" w:eastAsia="黑体"/>
        </w:rPr>
      </w:pPr>
    </w:p>
    <w:p w14:paraId="565111FD">
      <w:pPr>
        <w:pStyle w:val="28"/>
        <w:tabs>
          <w:tab w:val="clear" w:pos="4201"/>
          <w:tab w:val="clear" w:pos="9298"/>
        </w:tabs>
        <w:spacing w:line="360" w:lineRule="auto"/>
        <w:jc w:val="center"/>
        <w:rPr>
          <w:rFonts w:ascii="Times New Roman" w:eastAsia="黑体"/>
        </w:rPr>
      </w:pPr>
    </w:p>
    <w:p w14:paraId="0092E531">
      <w:pPr>
        <w:pStyle w:val="28"/>
        <w:tabs>
          <w:tab w:val="clear" w:pos="4201"/>
          <w:tab w:val="clear" w:pos="9298"/>
        </w:tabs>
        <w:spacing w:line="360" w:lineRule="auto"/>
        <w:jc w:val="center"/>
        <w:rPr>
          <w:rFonts w:ascii="Times New Roman" w:eastAsia="黑体"/>
        </w:rPr>
      </w:pPr>
    </w:p>
    <w:p w14:paraId="2E1A0911">
      <w:pPr>
        <w:pStyle w:val="53"/>
        <w:numPr>
          <w:ilvl w:val="0"/>
          <w:numId w:val="0"/>
        </w:numPr>
        <w:spacing w:beforeLines="0" w:afterLines="0" w:line="360" w:lineRule="auto"/>
        <w:jc w:val="center"/>
        <w:rPr>
          <w:rFonts w:ascii="Times New Roman"/>
        </w:rPr>
      </w:pPr>
      <w:bookmarkStart w:id="46" w:name="_Toc211864632"/>
      <w:r>
        <w:rPr>
          <w:rFonts w:ascii="Times New Roman"/>
        </w:rPr>
        <w:t>附录C</w:t>
      </w:r>
      <w:r>
        <w:rPr>
          <w:rFonts w:ascii="Times New Roman"/>
        </w:rPr>
        <w:br w:type="textWrapping"/>
      </w:r>
      <w:r>
        <w:rPr>
          <w:rFonts w:hint="eastAsia" w:ascii="Times New Roman"/>
        </w:rPr>
        <w:t>（资料性）</w:t>
      </w:r>
      <w:r>
        <w:rPr>
          <w:rFonts w:ascii="Times New Roman"/>
        </w:rPr>
        <w:br w:type="textWrapping"/>
      </w:r>
      <w:r>
        <w:rPr>
          <w:rFonts w:hint="eastAsia" w:ascii="Times New Roman"/>
        </w:rPr>
        <w:t>数据质量评价</w:t>
      </w:r>
      <w:bookmarkEnd w:id="46"/>
    </w:p>
    <w:p w14:paraId="37B3A548">
      <w:pPr>
        <w:widowControl/>
        <w:autoSpaceDE w:val="0"/>
        <w:autoSpaceDN w:val="0"/>
        <w:spacing w:line="360" w:lineRule="auto"/>
        <w:ind w:firstLine="420" w:firstLineChars="200"/>
        <w:rPr>
          <w:kern w:val="0"/>
          <w:szCs w:val="20"/>
        </w:rPr>
      </w:pPr>
    </w:p>
    <w:p w14:paraId="68C7CD6D">
      <w:pPr>
        <w:widowControl/>
        <w:autoSpaceDE w:val="0"/>
        <w:autoSpaceDN w:val="0"/>
        <w:spacing w:line="360" w:lineRule="auto"/>
        <w:ind w:firstLine="420" w:firstLineChars="200"/>
        <w:rPr>
          <w:kern w:val="0"/>
          <w:szCs w:val="20"/>
        </w:rPr>
      </w:pPr>
      <w:r>
        <w:rPr>
          <w:kern w:val="0"/>
          <w:szCs w:val="20"/>
        </w:rPr>
        <w:t>暖通空调及净化设备碳足迹量化时的初级数据和次级数据应分别进行质量评价。初级数据质量从数据可靠性和时间代表性两个方面进行评估，次级数据质量从技术代表性、地理和时间代表性三个方面进行评价。各维度的数据质量评分见表C.1，用5级分制来定义数据质量，最终得分高表示数据质量好。数据质量得分应按式（C.1）计算：</w:t>
      </w:r>
    </w:p>
    <w:p w14:paraId="5420C5F5">
      <w:pPr>
        <w:autoSpaceDE w:val="0"/>
        <w:autoSpaceDN w:val="0"/>
        <w:spacing w:before="12"/>
        <w:jc w:val="right"/>
        <w:rPr>
          <w:kern w:val="0"/>
          <w:szCs w:val="21"/>
        </w:rPr>
      </w:pPr>
      <m:oMath>
        <m:r>
          <m:rPr/>
          <w:rPr>
            <w:rFonts w:ascii="Cambria Math" w:hAnsi="Cambria Math"/>
            <w:kern w:val="0"/>
            <w:szCs w:val="21"/>
          </w:rPr>
          <m:t>I</m:t>
        </m:r>
        <m:r>
          <m:rPr>
            <m:sty m:val="p"/>
          </m:rPr>
          <w:rPr>
            <w:rFonts w:ascii="Cambria Math" w:hAnsi="Cambria Math"/>
            <w:kern w:val="0"/>
            <w:szCs w:val="21"/>
          </w:rPr>
          <m:t>=</m:t>
        </m:r>
        <m:f>
          <m:fPr>
            <m:ctrlPr>
              <w:rPr>
                <w:rFonts w:ascii="Cambria Math" w:hAnsi="Cambria Math"/>
                <w:kern w:val="0"/>
                <w:szCs w:val="21"/>
              </w:rPr>
            </m:ctrlPr>
          </m:fPr>
          <m:num>
            <m:r>
              <m:rPr/>
              <w:rPr>
                <w:rFonts w:ascii="Cambria Math" w:hAnsi="Cambria Math"/>
                <w:kern w:val="0"/>
                <w:szCs w:val="21"/>
              </w:rPr>
              <m:t>1</m:t>
            </m:r>
            <m:ctrlPr>
              <w:rPr>
                <w:rFonts w:ascii="Cambria Math" w:hAnsi="Cambria Math"/>
                <w:kern w:val="0"/>
                <w:szCs w:val="21"/>
              </w:rPr>
            </m:ctrlPr>
          </m:num>
          <m:den>
            <m:r>
              <m:rPr/>
              <w:rPr>
                <w:rFonts w:ascii="Cambria Math" w:hAnsi="Cambria Math"/>
                <w:kern w:val="0"/>
                <w:szCs w:val="21"/>
              </w:rPr>
              <m:t>2</m:t>
            </m:r>
            <m:ctrlPr>
              <w:rPr>
                <w:rFonts w:ascii="Cambria Math" w:hAnsi="Cambria Math"/>
                <w:kern w:val="0"/>
                <w:szCs w:val="21"/>
              </w:rPr>
            </m:ctrlPr>
          </m:den>
        </m:f>
        <m:r>
          <m:rPr/>
          <w:rPr>
            <w:rFonts w:ascii="Cambria Math" w:hAnsi="Cambria Math"/>
            <w:kern w:val="0"/>
            <w:szCs w:val="21"/>
          </w:rPr>
          <m:t>×</m:t>
        </m:r>
        <m:f>
          <m:fPr>
            <m:ctrlPr>
              <w:rPr>
                <w:rFonts w:ascii="Cambria Math" w:hAnsi="Cambria Math"/>
                <w:i/>
                <w:kern w:val="0"/>
                <w:szCs w:val="21"/>
              </w:rPr>
            </m:ctrlPr>
          </m:fPr>
          <m:num>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1</m:t>
                </m:r>
                <m:ctrlPr>
                  <w:rPr>
                    <w:rFonts w:ascii="Cambria Math" w:hAnsi="Cambria Math"/>
                    <w:i/>
                    <w:kern w:val="0"/>
                    <w:szCs w:val="21"/>
                  </w:rPr>
                </m:ctrlPr>
              </m:sub>
            </m:sSub>
            <m:r>
              <m:rPr/>
              <w:rPr>
                <w:rFonts w:ascii="Cambria Math" w:hAnsi="Cambria Math"/>
                <w:kern w:val="0"/>
                <w:szCs w:val="21"/>
              </w:rPr>
              <m:t>+</m:t>
            </m:r>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2</m:t>
                </m:r>
                <m:ctrlPr>
                  <w:rPr>
                    <w:rFonts w:ascii="Cambria Math" w:hAnsi="Cambria Math"/>
                    <w:i/>
                    <w:kern w:val="0"/>
                    <w:szCs w:val="21"/>
                  </w:rPr>
                </m:ctrlPr>
              </m:sub>
            </m:sSub>
            <m:ctrlPr>
              <w:rPr>
                <w:rFonts w:ascii="Cambria Math" w:hAnsi="Cambria Math"/>
                <w:i/>
                <w:kern w:val="0"/>
                <w:szCs w:val="21"/>
              </w:rPr>
            </m:ctrlPr>
          </m:num>
          <m:den>
            <m:r>
              <m:rPr/>
              <w:rPr>
                <w:rFonts w:ascii="Cambria Math" w:hAnsi="Cambria Math"/>
                <w:kern w:val="0"/>
                <w:szCs w:val="21"/>
              </w:rPr>
              <m:t>2</m:t>
            </m:r>
            <m:ctrlPr>
              <w:rPr>
                <w:rFonts w:ascii="Cambria Math" w:hAnsi="Cambria Math"/>
                <w:i/>
                <w:kern w:val="0"/>
                <w:szCs w:val="21"/>
              </w:rPr>
            </m:ctrlPr>
          </m:den>
        </m:f>
        <m:r>
          <m:rPr/>
          <w:rPr>
            <w:rFonts w:ascii="Cambria Math" w:hAnsi="Cambria Math"/>
            <w:kern w:val="0"/>
            <w:szCs w:val="21"/>
          </w:rPr>
          <m:t>+</m:t>
        </m:r>
        <m:f>
          <m:fPr>
            <m:ctrlPr>
              <w:rPr>
                <w:rFonts w:ascii="Cambria Math" w:hAnsi="Cambria Math"/>
                <w:i/>
                <w:kern w:val="0"/>
                <w:szCs w:val="21"/>
              </w:rPr>
            </m:ctrlPr>
          </m:fPr>
          <m:num>
            <m:r>
              <m:rPr/>
              <w:rPr>
                <w:rFonts w:ascii="Cambria Math" w:hAnsi="Cambria Math"/>
                <w:kern w:val="0"/>
                <w:szCs w:val="21"/>
              </w:rPr>
              <m:t>1</m:t>
            </m:r>
            <m:ctrlPr>
              <w:rPr>
                <w:rFonts w:ascii="Cambria Math" w:hAnsi="Cambria Math"/>
                <w:i/>
                <w:kern w:val="0"/>
                <w:szCs w:val="21"/>
              </w:rPr>
            </m:ctrlPr>
          </m:num>
          <m:den>
            <m:r>
              <m:rPr/>
              <w:rPr>
                <w:rFonts w:ascii="Cambria Math" w:hAnsi="Cambria Math"/>
                <w:kern w:val="0"/>
                <w:szCs w:val="21"/>
              </w:rPr>
              <m:t>2</m:t>
            </m:r>
            <m:ctrlPr>
              <w:rPr>
                <w:rFonts w:ascii="Cambria Math" w:hAnsi="Cambria Math"/>
                <w:i/>
                <w:kern w:val="0"/>
                <w:szCs w:val="21"/>
              </w:rPr>
            </m:ctrlPr>
          </m:den>
        </m:f>
        <m:r>
          <m:rPr/>
          <w:rPr>
            <w:rFonts w:ascii="Cambria Math" w:hAnsi="Cambria Math"/>
            <w:kern w:val="0"/>
            <w:szCs w:val="21"/>
          </w:rPr>
          <m:t>×</m:t>
        </m:r>
        <m:f>
          <m:fPr>
            <m:ctrlPr>
              <w:rPr>
                <w:rFonts w:ascii="Cambria Math" w:hAnsi="Cambria Math"/>
                <w:i/>
                <w:kern w:val="0"/>
                <w:szCs w:val="21"/>
              </w:rPr>
            </m:ctrlPr>
          </m:fPr>
          <m:num>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3</m:t>
                </m:r>
                <m:ctrlPr>
                  <w:rPr>
                    <w:rFonts w:ascii="Cambria Math" w:hAnsi="Cambria Math"/>
                    <w:i/>
                    <w:kern w:val="0"/>
                    <w:szCs w:val="21"/>
                  </w:rPr>
                </m:ctrlPr>
              </m:sub>
            </m:sSub>
            <m:r>
              <m:rPr/>
              <w:rPr>
                <w:rFonts w:ascii="Cambria Math" w:hAnsi="Cambria Math"/>
                <w:kern w:val="0"/>
                <w:szCs w:val="21"/>
              </w:rPr>
              <m:t>+</m:t>
            </m:r>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4</m:t>
                </m:r>
                <m:ctrlPr>
                  <w:rPr>
                    <w:rFonts w:ascii="Cambria Math" w:hAnsi="Cambria Math"/>
                    <w:i/>
                    <w:kern w:val="0"/>
                    <w:szCs w:val="21"/>
                  </w:rPr>
                </m:ctrlPr>
              </m:sub>
            </m:sSub>
            <m:r>
              <m:rPr/>
              <w:rPr>
                <w:rFonts w:ascii="Cambria Math" w:hAnsi="Cambria Math"/>
                <w:kern w:val="0"/>
                <w:szCs w:val="21"/>
              </w:rPr>
              <m:t>+</m:t>
            </m:r>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5</m:t>
                </m:r>
                <m:ctrlPr>
                  <w:rPr>
                    <w:rFonts w:ascii="Cambria Math" w:hAnsi="Cambria Math"/>
                    <w:i/>
                    <w:kern w:val="0"/>
                    <w:szCs w:val="21"/>
                  </w:rPr>
                </m:ctrlPr>
              </m:sub>
            </m:sSub>
            <m:ctrlPr>
              <w:rPr>
                <w:rFonts w:ascii="Cambria Math" w:hAnsi="Cambria Math"/>
                <w:i/>
                <w:kern w:val="0"/>
                <w:szCs w:val="21"/>
              </w:rPr>
            </m:ctrlPr>
          </m:num>
          <m:den>
            <m:r>
              <m:rPr/>
              <w:rPr>
                <w:rFonts w:ascii="Cambria Math" w:hAnsi="Cambria Math"/>
                <w:kern w:val="0"/>
                <w:szCs w:val="21"/>
              </w:rPr>
              <m:t>3</m:t>
            </m:r>
            <m:ctrlPr>
              <w:rPr>
                <w:rFonts w:ascii="Cambria Math" w:hAnsi="Cambria Math"/>
                <w:i/>
                <w:kern w:val="0"/>
                <w:szCs w:val="21"/>
              </w:rPr>
            </m:ctrlPr>
          </m:den>
        </m:f>
      </m:oMath>
      <w:r>
        <w:rPr>
          <w:kern w:val="0"/>
          <w:szCs w:val="21"/>
        </w:rPr>
        <w:t xml:space="preserve">                </w:t>
      </w:r>
      <w:r>
        <w:rPr>
          <w:rFonts w:hint="eastAsia"/>
          <w:kern w:val="0"/>
          <w:szCs w:val="21"/>
        </w:rPr>
        <w:t xml:space="preserve">          </w:t>
      </w:r>
      <w:r>
        <w:rPr>
          <w:kern w:val="0"/>
          <w:szCs w:val="21"/>
        </w:rPr>
        <w:t xml:space="preserve">          （C.1）</w:t>
      </w:r>
    </w:p>
    <w:p w14:paraId="74424C43">
      <w:pPr>
        <w:autoSpaceDE w:val="0"/>
        <w:autoSpaceDN w:val="0"/>
        <w:spacing w:before="12"/>
        <w:ind w:firstLine="210"/>
        <w:jc w:val="left"/>
        <w:rPr>
          <w:kern w:val="0"/>
          <w:szCs w:val="21"/>
        </w:rPr>
      </w:pPr>
      <w:r>
        <w:rPr>
          <w:rFonts w:hint="eastAsia"/>
          <w:kern w:val="0"/>
          <w:szCs w:val="21"/>
        </w:rPr>
        <w:t>式中：</w:t>
      </w:r>
    </w:p>
    <w:p w14:paraId="2FDF4C3B">
      <w:pPr>
        <w:autoSpaceDE w:val="0"/>
        <w:autoSpaceDN w:val="0"/>
        <w:spacing w:before="12"/>
        <w:ind w:firstLine="210"/>
        <w:jc w:val="left"/>
        <w:rPr>
          <w:kern w:val="0"/>
          <w:szCs w:val="21"/>
        </w:rPr>
      </w:pPr>
      <m:oMath>
        <m:r>
          <m:rPr/>
          <w:rPr>
            <w:rFonts w:ascii="Cambria Math" w:hAnsi="Cambria Math"/>
            <w:kern w:val="0"/>
            <w:szCs w:val="21"/>
          </w:rPr>
          <m:t>I</m:t>
        </m:r>
      </m:oMath>
      <w:r>
        <w:rPr>
          <w:rFonts w:hint="eastAsia"/>
          <w:kern w:val="0"/>
          <w:szCs w:val="21"/>
        </w:rPr>
        <w:t>——数据质量得分；</w:t>
      </w:r>
    </w:p>
    <w:p w14:paraId="6DC55281">
      <w:pPr>
        <w:autoSpaceDE w:val="0"/>
        <w:autoSpaceDN w:val="0"/>
        <w:spacing w:before="12"/>
        <w:ind w:firstLine="210"/>
        <w:jc w:val="left"/>
        <w:rPr>
          <w:kern w:val="0"/>
          <w:szCs w:val="21"/>
        </w:rPr>
      </w:pPr>
      <m:oMath>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1</m:t>
            </m:r>
            <m:ctrlPr>
              <w:rPr>
                <w:rFonts w:ascii="Cambria Math" w:hAnsi="Cambria Math"/>
                <w:i/>
                <w:kern w:val="0"/>
                <w:szCs w:val="21"/>
              </w:rPr>
            </m:ctrlPr>
          </m:sub>
        </m:sSub>
      </m:oMath>
      <w:r>
        <w:rPr>
          <w:rFonts w:hint="eastAsia"/>
          <w:kern w:val="0"/>
          <w:szCs w:val="21"/>
        </w:rPr>
        <w:t>——初级数据的数据可靠性评分；</w:t>
      </w:r>
    </w:p>
    <w:p w14:paraId="6723FD9C">
      <w:pPr>
        <w:autoSpaceDE w:val="0"/>
        <w:autoSpaceDN w:val="0"/>
        <w:spacing w:before="12"/>
        <w:ind w:firstLine="210"/>
        <w:jc w:val="left"/>
        <w:rPr>
          <w:kern w:val="0"/>
          <w:szCs w:val="21"/>
        </w:rPr>
      </w:pPr>
      <m:oMath>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2</m:t>
            </m:r>
            <m:ctrlPr>
              <w:rPr>
                <w:rFonts w:ascii="Cambria Math" w:hAnsi="Cambria Math"/>
                <w:i/>
                <w:kern w:val="0"/>
                <w:szCs w:val="21"/>
              </w:rPr>
            </m:ctrlPr>
          </m:sub>
        </m:sSub>
      </m:oMath>
      <w:r>
        <w:rPr>
          <w:rFonts w:hint="eastAsia"/>
          <w:kern w:val="0"/>
          <w:szCs w:val="21"/>
        </w:rPr>
        <w:t>——初级数据的时间代表性评分；</w:t>
      </w:r>
    </w:p>
    <w:p w14:paraId="79772744">
      <w:pPr>
        <w:autoSpaceDE w:val="0"/>
        <w:autoSpaceDN w:val="0"/>
        <w:spacing w:before="12"/>
        <w:ind w:firstLine="210"/>
        <w:jc w:val="left"/>
        <w:rPr>
          <w:kern w:val="0"/>
          <w:szCs w:val="21"/>
        </w:rPr>
      </w:pPr>
      <m:oMath>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3</m:t>
            </m:r>
            <m:ctrlPr>
              <w:rPr>
                <w:rFonts w:ascii="Cambria Math" w:hAnsi="Cambria Math"/>
                <w:i/>
                <w:kern w:val="0"/>
                <w:szCs w:val="21"/>
              </w:rPr>
            </m:ctrlPr>
          </m:sub>
        </m:sSub>
      </m:oMath>
      <w:r>
        <w:rPr>
          <w:rFonts w:hint="eastAsia"/>
          <w:kern w:val="0"/>
          <w:szCs w:val="21"/>
        </w:rPr>
        <w:t>——次级数据的技术代表性评分；</w:t>
      </w:r>
    </w:p>
    <w:p w14:paraId="75DB5DC6">
      <w:pPr>
        <w:autoSpaceDE w:val="0"/>
        <w:autoSpaceDN w:val="0"/>
        <w:spacing w:before="12"/>
        <w:ind w:firstLine="210"/>
        <w:jc w:val="left"/>
        <w:rPr>
          <w:kern w:val="0"/>
          <w:szCs w:val="21"/>
        </w:rPr>
      </w:pPr>
      <m:oMath>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4</m:t>
            </m:r>
            <m:ctrlPr>
              <w:rPr>
                <w:rFonts w:ascii="Cambria Math" w:hAnsi="Cambria Math"/>
                <w:i/>
                <w:kern w:val="0"/>
                <w:szCs w:val="21"/>
              </w:rPr>
            </m:ctrlPr>
          </m:sub>
        </m:sSub>
      </m:oMath>
      <w:r>
        <w:rPr>
          <w:rFonts w:hint="eastAsia"/>
          <w:kern w:val="0"/>
          <w:szCs w:val="21"/>
        </w:rPr>
        <w:t>——次级数据的地理代表性评分；</w:t>
      </w:r>
    </w:p>
    <w:p w14:paraId="38C5EC76">
      <w:pPr>
        <w:autoSpaceDE w:val="0"/>
        <w:autoSpaceDN w:val="0"/>
        <w:spacing w:before="12"/>
        <w:ind w:firstLine="210"/>
        <w:jc w:val="left"/>
        <w:rPr>
          <w:kern w:val="0"/>
          <w:szCs w:val="21"/>
        </w:rPr>
      </w:pPr>
      <m:oMath>
        <m:sSub>
          <m:sSubPr>
            <m:ctrlPr>
              <w:rPr>
                <w:rFonts w:ascii="Cambria Math" w:hAnsi="Cambria Math"/>
                <w:i/>
                <w:kern w:val="0"/>
                <w:szCs w:val="21"/>
              </w:rPr>
            </m:ctrlPr>
          </m:sSubPr>
          <m:e>
            <m:r>
              <m:rPr/>
              <w:rPr>
                <w:rFonts w:ascii="Cambria Math" w:hAnsi="Cambria Math"/>
                <w:kern w:val="0"/>
                <w:szCs w:val="21"/>
              </w:rPr>
              <m:t>U</m:t>
            </m:r>
            <m:ctrlPr>
              <w:rPr>
                <w:rFonts w:ascii="Cambria Math" w:hAnsi="Cambria Math"/>
                <w:i/>
                <w:kern w:val="0"/>
                <w:szCs w:val="21"/>
              </w:rPr>
            </m:ctrlPr>
          </m:e>
          <m:sub>
            <m:r>
              <m:rPr/>
              <w:rPr>
                <w:rFonts w:ascii="Cambria Math" w:hAnsi="Cambria Math"/>
                <w:kern w:val="0"/>
                <w:szCs w:val="21"/>
              </w:rPr>
              <m:t>5</m:t>
            </m:r>
            <m:ctrlPr>
              <w:rPr>
                <w:rFonts w:ascii="Cambria Math" w:hAnsi="Cambria Math"/>
                <w:i/>
                <w:kern w:val="0"/>
                <w:szCs w:val="21"/>
              </w:rPr>
            </m:ctrlPr>
          </m:sub>
        </m:sSub>
      </m:oMath>
      <w:r>
        <w:rPr>
          <w:rFonts w:hint="eastAsia"/>
          <w:kern w:val="0"/>
          <w:szCs w:val="21"/>
        </w:rPr>
        <w:t>——次级数据的时间代表性评分。</w:t>
      </w:r>
    </w:p>
    <w:p w14:paraId="08572F69">
      <w:pPr>
        <w:autoSpaceDE w:val="0"/>
        <w:autoSpaceDN w:val="0"/>
        <w:spacing w:before="12"/>
        <w:jc w:val="right"/>
        <w:rPr>
          <w:kern w:val="0"/>
          <w:szCs w:val="21"/>
        </w:rPr>
      </w:pPr>
    </w:p>
    <w:p w14:paraId="262B75AE">
      <w:pPr>
        <w:autoSpaceDE w:val="0"/>
        <w:autoSpaceDN w:val="0"/>
        <w:spacing w:line="315" w:lineRule="exact"/>
        <w:ind w:left="647" w:right="305"/>
        <w:jc w:val="center"/>
        <w:rPr>
          <w:rFonts w:eastAsia="黑体"/>
          <w:kern w:val="0"/>
          <w:szCs w:val="21"/>
        </w:rPr>
      </w:pPr>
      <w:bookmarkStart w:id="47" w:name="OLE_LINK12"/>
      <w:r>
        <w:rPr>
          <w:rFonts w:eastAsia="黑体"/>
          <w:spacing w:val="-6"/>
          <w:kern w:val="0"/>
          <w:szCs w:val="21"/>
        </w:rPr>
        <w:t>表C.</w:t>
      </w:r>
      <w:r>
        <w:rPr>
          <w:rFonts w:eastAsia="黑体"/>
          <w:kern w:val="0"/>
          <w:szCs w:val="21"/>
        </w:rPr>
        <w:t>1</w:t>
      </w:r>
      <w:r>
        <w:rPr>
          <w:rFonts w:eastAsia="黑体"/>
          <w:b/>
          <w:spacing w:val="-13"/>
          <w:kern w:val="0"/>
          <w:szCs w:val="21"/>
        </w:rPr>
        <w:t xml:space="preserve"> </w:t>
      </w:r>
      <w:r>
        <w:rPr>
          <w:rFonts w:eastAsia="黑体"/>
          <w:spacing w:val="-2"/>
          <w:kern w:val="0"/>
          <w:szCs w:val="21"/>
        </w:rPr>
        <w:t>数据质量评价表</w:t>
      </w:r>
    </w:p>
    <w:bookmarkEnd w:id="47"/>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1"/>
        <w:gridCol w:w="996"/>
        <w:gridCol w:w="1590"/>
        <w:gridCol w:w="1590"/>
        <w:gridCol w:w="1590"/>
        <w:gridCol w:w="1590"/>
        <w:gridCol w:w="1587"/>
      </w:tblGrid>
      <w:tr w14:paraId="4571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57" w:type="pct"/>
            <w:gridSpan w:val="2"/>
            <w:vAlign w:val="center"/>
          </w:tcPr>
          <w:p w14:paraId="6C4E5984">
            <w:pPr>
              <w:autoSpaceDE w:val="0"/>
              <w:autoSpaceDN w:val="0"/>
              <w:jc w:val="center"/>
              <w:rPr>
                <w:b/>
                <w:kern w:val="0"/>
                <w:sz w:val="18"/>
                <w:szCs w:val="18"/>
              </w:rPr>
            </w:pPr>
            <w:r>
              <w:rPr>
                <w:b/>
                <w:spacing w:val="-4"/>
                <w:kern w:val="0"/>
                <w:sz w:val="18"/>
                <w:szCs w:val="18"/>
              </w:rPr>
              <w:t>评分</w:t>
            </w:r>
          </w:p>
        </w:tc>
        <w:tc>
          <w:tcPr>
            <w:tcW w:w="849" w:type="pct"/>
            <w:vAlign w:val="center"/>
          </w:tcPr>
          <w:p w14:paraId="14CD1DD5">
            <w:pPr>
              <w:autoSpaceDE w:val="0"/>
              <w:autoSpaceDN w:val="0"/>
              <w:jc w:val="center"/>
              <w:rPr>
                <w:b/>
                <w:kern w:val="0"/>
                <w:sz w:val="18"/>
                <w:szCs w:val="18"/>
              </w:rPr>
            </w:pPr>
            <w:r>
              <w:rPr>
                <w:b/>
                <w:kern w:val="0"/>
                <w:sz w:val="18"/>
                <w:szCs w:val="18"/>
              </w:rPr>
              <w:t>5</w:t>
            </w:r>
          </w:p>
        </w:tc>
        <w:tc>
          <w:tcPr>
            <w:tcW w:w="849" w:type="pct"/>
            <w:vAlign w:val="center"/>
          </w:tcPr>
          <w:p w14:paraId="1BFE380B">
            <w:pPr>
              <w:autoSpaceDE w:val="0"/>
              <w:autoSpaceDN w:val="0"/>
              <w:jc w:val="center"/>
              <w:rPr>
                <w:b/>
                <w:kern w:val="0"/>
                <w:sz w:val="18"/>
                <w:szCs w:val="18"/>
              </w:rPr>
            </w:pPr>
            <w:r>
              <w:rPr>
                <w:b/>
                <w:kern w:val="0"/>
                <w:sz w:val="18"/>
                <w:szCs w:val="18"/>
              </w:rPr>
              <w:t>4</w:t>
            </w:r>
          </w:p>
        </w:tc>
        <w:tc>
          <w:tcPr>
            <w:tcW w:w="849" w:type="pct"/>
            <w:vAlign w:val="center"/>
          </w:tcPr>
          <w:p w14:paraId="02B8B24D">
            <w:pPr>
              <w:autoSpaceDE w:val="0"/>
              <w:autoSpaceDN w:val="0"/>
              <w:jc w:val="center"/>
              <w:rPr>
                <w:b/>
                <w:kern w:val="0"/>
                <w:sz w:val="18"/>
                <w:szCs w:val="18"/>
              </w:rPr>
            </w:pPr>
            <w:r>
              <w:rPr>
                <w:b/>
                <w:kern w:val="0"/>
                <w:sz w:val="18"/>
                <w:szCs w:val="18"/>
              </w:rPr>
              <w:t>3</w:t>
            </w:r>
          </w:p>
        </w:tc>
        <w:tc>
          <w:tcPr>
            <w:tcW w:w="849" w:type="pct"/>
            <w:vAlign w:val="center"/>
          </w:tcPr>
          <w:p w14:paraId="029CDF36">
            <w:pPr>
              <w:autoSpaceDE w:val="0"/>
              <w:autoSpaceDN w:val="0"/>
              <w:jc w:val="center"/>
              <w:rPr>
                <w:b/>
                <w:kern w:val="0"/>
                <w:sz w:val="18"/>
                <w:szCs w:val="18"/>
              </w:rPr>
            </w:pPr>
            <w:r>
              <w:rPr>
                <w:b/>
                <w:kern w:val="0"/>
                <w:sz w:val="18"/>
                <w:szCs w:val="18"/>
              </w:rPr>
              <w:t>2</w:t>
            </w:r>
          </w:p>
        </w:tc>
        <w:tc>
          <w:tcPr>
            <w:tcW w:w="849" w:type="pct"/>
            <w:vAlign w:val="center"/>
          </w:tcPr>
          <w:p w14:paraId="572BC6AD">
            <w:pPr>
              <w:autoSpaceDE w:val="0"/>
              <w:autoSpaceDN w:val="0"/>
              <w:jc w:val="center"/>
              <w:rPr>
                <w:b/>
                <w:kern w:val="0"/>
                <w:sz w:val="18"/>
                <w:szCs w:val="18"/>
              </w:rPr>
            </w:pPr>
            <w:r>
              <w:rPr>
                <w:b/>
                <w:kern w:val="0"/>
                <w:sz w:val="18"/>
                <w:szCs w:val="18"/>
              </w:rPr>
              <w:t>1</w:t>
            </w:r>
          </w:p>
        </w:tc>
      </w:tr>
      <w:tr w14:paraId="24B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225" w:type="pct"/>
            <w:vMerge w:val="restart"/>
            <w:vAlign w:val="center"/>
          </w:tcPr>
          <w:p w14:paraId="38806CD5">
            <w:pPr>
              <w:autoSpaceDE w:val="0"/>
              <w:autoSpaceDN w:val="0"/>
              <w:jc w:val="center"/>
              <w:rPr>
                <w:b/>
                <w:bCs/>
                <w:spacing w:val="-4"/>
                <w:kern w:val="0"/>
                <w:sz w:val="18"/>
                <w:szCs w:val="18"/>
              </w:rPr>
            </w:pPr>
            <w:r>
              <w:rPr>
                <w:b/>
                <w:bCs/>
                <w:spacing w:val="-4"/>
                <w:kern w:val="0"/>
                <w:sz w:val="18"/>
                <w:szCs w:val="18"/>
              </w:rPr>
              <w:t>初级数据</w:t>
            </w:r>
          </w:p>
        </w:tc>
        <w:tc>
          <w:tcPr>
            <w:tcW w:w="531" w:type="pct"/>
            <w:vAlign w:val="center"/>
          </w:tcPr>
          <w:p w14:paraId="31DC09D6">
            <w:pPr>
              <w:autoSpaceDE w:val="0"/>
              <w:autoSpaceDN w:val="0"/>
              <w:jc w:val="center"/>
              <w:rPr>
                <w:b/>
                <w:bCs/>
                <w:kern w:val="0"/>
                <w:sz w:val="18"/>
                <w:szCs w:val="18"/>
              </w:rPr>
            </w:pPr>
            <w:r>
              <w:rPr>
                <w:b/>
                <w:bCs/>
                <w:spacing w:val="-4"/>
                <w:kern w:val="0"/>
                <w:sz w:val="18"/>
                <w:szCs w:val="18"/>
              </w:rPr>
              <w:t>数据可靠性</w:t>
            </w:r>
          </w:p>
          <w:p w14:paraId="61722424">
            <w:pPr>
              <w:autoSpaceDE w:val="0"/>
              <w:autoSpaceDN w:val="0"/>
              <w:jc w:val="center"/>
              <w:rPr>
                <w:b/>
                <w:bCs/>
                <w:kern w:val="0"/>
                <w:sz w:val="18"/>
                <w:szCs w:val="18"/>
              </w:rPr>
            </w:pPr>
            <w:r>
              <w:rPr>
                <w:b/>
                <w:bCs/>
                <w:spacing w:val="-4"/>
                <w:kern w:val="0"/>
                <w:position w:val="1"/>
                <w:sz w:val="18"/>
                <w:szCs w:val="18"/>
              </w:rPr>
              <w:t>（U</w:t>
            </w:r>
            <w:r>
              <w:rPr>
                <w:b/>
                <w:bCs/>
                <w:spacing w:val="-4"/>
                <w:kern w:val="0"/>
                <w:sz w:val="18"/>
                <w:szCs w:val="18"/>
                <w:vertAlign w:val="subscript"/>
              </w:rPr>
              <w:t>1</w:t>
            </w:r>
            <w:r>
              <w:rPr>
                <w:b/>
                <w:bCs/>
                <w:spacing w:val="-4"/>
                <w:kern w:val="0"/>
                <w:position w:val="1"/>
                <w:sz w:val="18"/>
                <w:szCs w:val="18"/>
              </w:rPr>
              <w:t>）</w:t>
            </w:r>
          </w:p>
        </w:tc>
        <w:tc>
          <w:tcPr>
            <w:tcW w:w="849" w:type="pct"/>
            <w:vAlign w:val="center"/>
          </w:tcPr>
          <w:p w14:paraId="72E16B44">
            <w:pPr>
              <w:autoSpaceDE w:val="0"/>
              <w:autoSpaceDN w:val="0"/>
              <w:jc w:val="center"/>
              <w:rPr>
                <w:kern w:val="0"/>
                <w:sz w:val="18"/>
                <w:szCs w:val="18"/>
              </w:rPr>
            </w:pPr>
            <w:r>
              <w:rPr>
                <w:spacing w:val="-4"/>
                <w:kern w:val="0"/>
                <w:sz w:val="18"/>
                <w:szCs w:val="18"/>
              </w:rPr>
              <w:t>实际测量值</w:t>
            </w:r>
          </w:p>
        </w:tc>
        <w:tc>
          <w:tcPr>
            <w:tcW w:w="849" w:type="pct"/>
            <w:vAlign w:val="center"/>
          </w:tcPr>
          <w:p w14:paraId="4CDD0903">
            <w:pPr>
              <w:autoSpaceDE w:val="0"/>
              <w:autoSpaceDN w:val="0"/>
              <w:jc w:val="center"/>
              <w:rPr>
                <w:kern w:val="0"/>
                <w:sz w:val="18"/>
                <w:szCs w:val="18"/>
              </w:rPr>
            </w:pPr>
            <w:r>
              <w:rPr>
                <w:spacing w:val="-4"/>
                <w:kern w:val="0"/>
                <w:sz w:val="18"/>
                <w:szCs w:val="18"/>
              </w:rPr>
              <w:t>基于部分测量数据</w:t>
            </w:r>
          </w:p>
        </w:tc>
        <w:tc>
          <w:tcPr>
            <w:tcW w:w="849" w:type="pct"/>
            <w:vAlign w:val="center"/>
          </w:tcPr>
          <w:p w14:paraId="56AF94ED">
            <w:pPr>
              <w:autoSpaceDE w:val="0"/>
              <w:autoSpaceDN w:val="0"/>
              <w:jc w:val="center"/>
              <w:rPr>
                <w:kern w:val="0"/>
                <w:sz w:val="18"/>
                <w:szCs w:val="18"/>
              </w:rPr>
            </w:pPr>
            <w:r>
              <w:rPr>
                <w:spacing w:val="-4"/>
                <w:kern w:val="0"/>
                <w:sz w:val="18"/>
                <w:szCs w:val="18"/>
              </w:rPr>
              <w:t>计算值</w:t>
            </w:r>
          </w:p>
        </w:tc>
        <w:tc>
          <w:tcPr>
            <w:tcW w:w="849" w:type="pct"/>
            <w:vAlign w:val="center"/>
          </w:tcPr>
          <w:p w14:paraId="28F123F6">
            <w:pPr>
              <w:autoSpaceDE w:val="0"/>
              <w:autoSpaceDN w:val="0"/>
              <w:jc w:val="center"/>
              <w:rPr>
                <w:kern w:val="0"/>
                <w:sz w:val="18"/>
                <w:szCs w:val="18"/>
              </w:rPr>
            </w:pPr>
            <w:r>
              <w:rPr>
                <w:spacing w:val="-4"/>
                <w:kern w:val="0"/>
                <w:sz w:val="18"/>
                <w:szCs w:val="18"/>
              </w:rPr>
              <w:t>估计值</w:t>
            </w:r>
          </w:p>
        </w:tc>
        <w:tc>
          <w:tcPr>
            <w:tcW w:w="849" w:type="pct"/>
            <w:vAlign w:val="center"/>
          </w:tcPr>
          <w:p w14:paraId="45FD625E">
            <w:pPr>
              <w:autoSpaceDE w:val="0"/>
              <w:autoSpaceDN w:val="0"/>
              <w:jc w:val="center"/>
              <w:rPr>
                <w:kern w:val="0"/>
                <w:sz w:val="18"/>
                <w:szCs w:val="18"/>
              </w:rPr>
            </w:pPr>
            <w:r>
              <w:rPr>
                <w:spacing w:val="-4"/>
                <w:kern w:val="0"/>
                <w:sz w:val="18"/>
                <w:szCs w:val="18"/>
              </w:rPr>
              <w:t>非合理估计或未知</w:t>
            </w:r>
          </w:p>
        </w:tc>
      </w:tr>
      <w:tr w14:paraId="0295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225" w:type="pct"/>
            <w:vMerge w:val="continue"/>
          </w:tcPr>
          <w:p w14:paraId="1742DAC4">
            <w:pPr>
              <w:autoSpaceDE w:val="0"/>
              <w:autoSpaceDN w:val="0"/>
              <w:jc w:val="center"/>
              <w:rPr>
                <w:b/>
                <w:bCs/>
                <w:spacing w:val="-4"/>
                <w:kern w:val="0"/>
                <w:sz w:val="18"/>
                <w:szCs w:val="18"/>
              </w:rPr>
            </w:pPr>
          </w:p>
        </w:tc>
        <w:tc>
          <w:tcPr>
            <w:tcW w:w="531" w:type="pct"/>
            <w:vAlign w:val="center"/>
          </w:tcPr>
          <w:p w14:paraId="7ACF4A98">
            <w:pPr>
              <w:autoSpaceDE w:val="0"/>
              <w:autoSpaceDN w:val="0"/>
              <w:jc w:val="center"/>
              <w:rPr>
                <w:b/>
                <w:bCs/>
                <w:kern w:val="0"/>
                <w:sz w:val="18"/>
                <w:szCs w:val="18"/>
              </w:rPr>
            </w:pPr>
            <w:r>
              <w:rPr>
                <w:b/>
                <w:bCs/>
                <w:spacing w:val="-4"/>
                <w:kern w:val="0"/>
                <w:sz w:val="18"/>
                <w:szCs w:val="18"/>
              </w:rPr>
              <w:t>时间代表性</w:t>
            </w:r>
          </w:p>
          <w:p w14:paraId="7D6DAEAA">
            <w:pPr>
              <w:autoSpaceDE w:val="0"/>
              <w:autoSpaceDN w:val="0"/>
              <w:jc w:val="center"/>
              <w:rPr>
                <w:b/>
                <w:bCs/>
                <w:kern w:val="0"/>
                <w:sz w:val="18"/>
                <w:szCs w:val="18"/>
              </w:rPr>
            </w:pPr>
            <w:r>
              <w:rPr>
                <w:b/>
                <w:bCs/>
                <w:spacing w:val="-4"/>
                <w:kern w:val="0"/>
                <w:position w:val="1"/>
                <w:sz w:val="18"/>
                <w:szCs w:val="18"/>
              </w:rPr>
              <w:t>（U</w:t>
            </w:r>
            <w:r>
              <w:rPr>
                <w:b/>
                <w:bCs/>
                <w:spacing w:val="-4"/>
                <w:kern w:val="0"/>
                <w:sz w:val="18"/>
                <w:szCs w:val="18"/>
                <w:vertAlign w:val="subscript"/>
              </w:rPr>
              <w:t>2</w:t>
            </w:r>
            <w:r>
              <w:rPr>
                <w:b/>
                <w:bCs/>
                <w:spacing w:val="-4"/>
                <w:kern w:val="0"/>
                <w:position w:val="1"/>
                <w:sz w:val="18"/>
                <w:szCs w:val="18"/>
              </w:rPr>
              <w:t>）</w:t>
            </w:r>
          </w:p>
        </w:tc>
        <w:tc>
          <w:tcPr>
            <w:tcW w:w="849" w:type="pct"/>
            <w:vAlign w:val="center"/>
          </w:tcPr>
          <w:p w14:paraId="73D29CED">
            <w:pPr>
              <w:autoSpaceDE w:val="0"/>
              <w:autoSpaceDN w:val="0"/>
              <w:jc w:val="center"/>
              <w:rPr>
                <w:kern w:val="0"/>
                <w:sz w:val="18"/>
                <w:szCs w:val="18"/>
              </w:rPr>
            </w:pPr>
            <w:r>
              <w:rPr>
                <w:spacing w:val="-2"/>
                <w:kern w:val="0"/>
                <w:sz w:val="18"/>
                <w:szCs w:val="18"/>
              </w:rPr>
              <w:t>原始数据为报告年 份1年内数据</w:t>
            </w:r>
          </w:p>
        </w:tc>
        <w:tc>
          <w:tcPr>
            <w:tcW w:w="849" w:type="pct"/>
            <w:vAlign w:val="center"/>
          </w:tcPr>
          <w:p w14:paraId="71DB22F6">
            <w:pPr>
              <w:autoSpaceDE w:val="0"/>
              <w:autoSpaceDN w:val="0"/>
              <w:jc w:val="center"/>
              <w:rPr>
                <w:kern w:val="0"/>
                <w:sz w:val="18"/>
                <w:szCs w:val="18"/>
              </w:rPr>
            </w:pPr>
            <w:r>
              <w:rPr>
                <w:spacing w:val="-2"/>
                <w:kern w:val="0"/>
                <w:sz w:val="18"/>
                <w:szCs w:val="18"/>
              </w:rPr>
              <w:t>原始数据为报告年 份2年内数据</w:t>
            </w:r>
          </w:p>
        </w:tc>
        <w:tc>
          <w:tcPr>
            <w:tcW w:w="849" w:type="pct"/>
            <w:vAlign w:val="center"/>
          </w:tcPr>
          <w:p w14:paraId="7ED922BC">
            <w:pPr>
              <w:autoSpaceDE w:val="0"/>
              <w:autoSpaceDN w:val="0"/>
              <w:jc w:val="center"/>
              <w:rPr>
                <w:kern w:val="0"/>
                <w:sz w:val="18"/>
                <w:szCs w:val="18"/>
              </w:rPr>
            </w:pPr>
            <w:r>
              <w:rPr>
                <w:spacing w:val="-2"/>
                <w:kern w:val="0"/>
                <w:sz w:val="18"/>
                <w:szCs w:val="18"/>
              </w:rPr>
              <w:t>原始数据为报告评价年份4年内数据</w:t>
            </w:r>
          </w:p>
        </w:tc>
        <w:tc>
          <w:tcPr>
            <w:tcW w:w="849" w:type="pct"/>
            <w:vAlign w:val="center"/>
          </w:tcPr>
          <w:p w14:paraId="6B1691BC">
            <w:pPr>
              <w:autoSpaceDE w:val="0"/>
              <w:autoSpaceDN w:val="0"/>
              <w:jc w:val="center"/>
              <w:rPr>
                <w:kern w:val="0"/>
                <w:sz w:val="18"/>
                <w:szCs w:val="18"/>
              </w:rPr>
            </w:pPr>
            <w:r>
              <w:rPr>
                <w:spacing w:val="-2"/>
                <w:kern w:val="0"/>
                <w:sz w:val="18"/>
                <w:szCs w:val="18"/>
              </w:rPr>
              <w:t>原始数据为报告评价年份6年内数据</w:t>
            </w:r>
          </w:p>
        </w:tc>
        <w:tc>
          <w:tcPr>
            <w:tcW w:w="849" w:type="pct"/>
            <w:vAlign w:val="center"/>
          </w:tcPr>
          <w:p w14:paraId="5BE1DAD9">
            <w:pPr>
              <w:autoSpaceDE w:val="0"/>
              <w:autoSpaceDN w:val="0"/>
              <w:jc w:val="center"/>
              <w:rPr>
                <w:kern w:val="0"/>
                <w:sz w:val="18"/>
                <w:szCs w:val="18"/>
              </w:rPr>
            </w:pPr>
            <w:r>
              <w:rPr>
                <w:spacing w:val="-2"/>
                <w:kern w:val="0"/>
                <w:sz w:val="18"/>
                <w:szCs w:val="18"/>
              </w:rPr>
              <w:t>原始数据为报告评价年份6年以上数据，或未指定时间有效期</w:t>
            </w:r>
          </w:p>
        </w:tc>
      </w:tr>
      <w:tr w14:paraId="0DD6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225" w:type="pct"/>
            <w:vMerge w:val="restart"/>
            <w:vAlign w:val="center"/>
          </w:tcPr>
          <w:p w14:paraId="3F322447">
            <w:pPr>
              <w:autoSpaceDE w:val="0"/>
              <w:autoSpaceDN w:val="0"/>
              <w:jc w:val="center"/>
              <w:rPr>
                <w:b/>
                <w:bCs/>
                <w:spacing w:val="-4"/>
                <w:kern w:val="0"/>
                <w:sz w:val="18"/>
                <w:szCs w:val="18"/>
              </w:rPr>
            </w:pPr>
            <w:r>
              <w:rPr>
                <w:b/>
                <w:bCs/>
                <w:spacing w:val="-4"/>
                <w:kern w:val="0"/>
                <w:sz w:val="18"/>
                <w:szCs w:val="18"/>
              </w:rPr>
              <w:t>次级数据</w:t>
            </w:r>
          </w:p>
        </w:tc>
        <w:tc>
          <w:tcPr>
            <w:tcW w:w="531" w:type="pct"/>
            <w:vAlign w:val="center"/>
          </w:tcPr>
          <w:p w14:paraId="01A688A6">
            <w:pPr>
              <w:autoSpaceDE w:val="0"/>
              <w:autoSpaceDN w:val="0"/>
              <w:jc w:val="center"/>
              <w:rPr>
                <w:b/>
                <w:bCs/>
                <w:kern w:val="0"/>
                <w:sz w:val="18"/>
                <w:szCs w:val="18"/>
              </w:rPr>
            </w:pPr>
            <w:r>
              <w:rPr>
                <w:b/>
                <w:bCs/>
                <w:spacing w:val="-4"/>
                <w:kern w:val="0"/>
                <w:sz w:val="18"/>
                <w:szCs w:val="18"/>
              </w:rPr>
              <w:t>技术代表性</w:t>
            </w:r>
          </w:p>
          <w:p w14:paraId="6CD4EC0B">
            <w:pPr>
              <w:autoSpaceDE w:val="0"/>
              <w:autoSpaceDN w:val="0"/>
              <w:jc w:val="center"/>
              <w:rPr>
                <w:b/>
                <w:bCs/>
                <w:kern w:val="0"/>
                <w:sz w:val="18"/>
                <w:szCs w:val="18"/>
              </w:rPr>
            </w:pPr>
            <w:r>
              <w:rPr>
                <w:b/>
                <w:bCs/>
                <w:spacing w:val="-4"/>
                <w:kern w:val="0"/>
                <w:position w:val="1"/>
                <w:sz w:val="18"/>
                <w:szCs w:val="18"/>
              </w:rPr>
              <w:t>（U</w:t>
            </w:r>
            <w:r>
              <w:rPr>
                <w:b/>
                <w:bCs/>
                <w:spacing w:val="-4"/>
                <w:kern w:val="0"/>
                <w:position w:val="1"/>
                <w:sz w:val="18"/>
                <w:szCs w:val="18"/>
                <w:vertAlign w:val="subscript"/>
              </w:rPr>
              <w:t>3</w:t>
            </w:r>
            <w:r>
              <w:rPr>
                <w:b/>
                <w:bCs/>
                <w:spacing w:val="-4"/>
                <w:kern w:val="0"/>
                <w:position w:val="1"/>
                <w:sz w:val="18"/>
                <w:szCs w:val="18"/>
              </w:rPr>
              <w:t>）</w:t>
            </w:r>
          </w:p>
        </w:tc>
        <w:tc>
          <w:tcPr>
            <w:tcW w:w="849" w:type="pct"/>
            <w:vAlign w:val="center"/>
          </w:tcPr>
          <w:p w14:paraId="3F70547D">
            <w:pPr>
              <w:autoSpaceDE w:val="0"/>
              <w:autoSpaceDN w:val="0"/>
              <w:jc w:val="center"/>
              <w:rPr>
                <w:kern w:val="0"/>
                <w:sz w:val="18"/>
                <w:szCs w:val="18"/>
              </w:rPr>
            </w:pPr>
            <w:r>
              <w:rPr>
                <w:kern w:val="0"/>
                <w:sz w:val="18"/>
                <w:szCs w:val="18"/>
              </w:rPr>
              <w:t>使用的技术与数据集范围内的技术完全相同</w:t>
            </w:r>
          </w:p>
        </w:tc>
        <w:tc>
          <w:tcPr>
            <w:tcW w:w="849" w:type="pct"/>
            <w:vAlign w:val="center"/>
          </w:tcPr>
          <w:p w14:paraId="53661367">
            <w:pPr>
              <w:autoSpaceDE w:val="0"/>
              <w:autoSpaceDN w:val="0"/>
              <w:jc w:val="center"/>
              <w:rPr>
                <w:kern w:val="0"/>
                <w:sz w:val="18"/>
                <w:szCs w:val="18"/>
              </w:rPr>
            </w:pPr>
            <w:r>
              <w:rPr>
                <w:kern w:val="0"/>
                <w:sz w:val="18"/>
                <w:szCs w:val="18"/>
              </w:rPr>
              <w:t>使用的技术包括在数据集范围内的技术组合中</w:t>
            </w:r>
          </w:p>
        </w:tc>
        <w:tc>
          <w:tcPr>
            <w:tcW w:w="849" w:type="pct"/>
            <w:vAlign w:val="center"/>
          </w:tcPr>
          <w:p w14:paraId="0E034803">
            <w:pPr>
              <w:autoSpaceDE w:val="0"/>
              <w:autoSpaceDN w:val="0"/>
              <w:jc w:val="center"/>
              <w:rPr>
                <w:kern w:val="0"/>
                <w:sz w:val="18"/>
                <w:szCs w:val="18"/>
              </w:rPr>
            </w:pPr>
            <w:r>
              <w:rPr>
                <w:kern w:val="0"/>
                <w:sz w:val="18"/>
                <w:szCs w:val="18"/>
              </w:rPr>
              <w:t>使用的技术仅部分包含在数据集范围内</w:t>
            </w:r>
          </w:p>
        </w:tc>
        <w:tc>
          <w:tcPr>
            <w:tcW w:w="849" w:type="pct"/>
            <w:vAlign w:val="center"/>
          </w:tcPr>
          <w:p w14:paraId="2EEE5CA7">
            <w:pPr>
              <w:autoSpaceDE w:val="0"/>
              <w:autoSpaceDN w:val="0"/>
              <w:jc w:val="center"/>
              <w:rPr>
                <w:kern w:val="0"/>
                <w:sz w:val="18"/>
                <w:szCs w:val="18"/>
              </w:rPr>
            </w:pPr>
            <w:r>
              <w:rPr>
                <w:kern w:val="0"/>
                <w:sz w:val="18"/>
                <w:szCs w:val="18"/>
              </w:rPr>
              <w:t>使用的技术与数据集范围中包含的技术类似</w:t>
            </w:r>
          </w:p>
        </w:tc>
        <w:tc>
          <w:tcPr>
            <w:tcW w:w="849" w:type="pct"/>
            <w:vAlign w:val="center"/>
          </w:tcPr>
          <w:p w14:paraId="09654A0A">
            <w:pPr>
              <w:autoSpaceDE w:val="0"/>
              <w:autoSpaceDN w:val="0"/>
              <w:jc w:val="center"/>
              <w:rPr>
                <w:kern w:val="0"/>
                <w:sz w:val="18"/>
                <w:szCs w:val="18"/>
              </w:rPr>
            </w:pPr>
            <w:r>
              <w:rPr>
                <w:kern w:val="0"/>
                <w:sz w:val="18"/>
                <w:szCs w:val="18"/>
              </w:rPr>
              <w:t>使用的技术不同于数据集范围中包含的技术</w:t>
            </w:r>
          </w:p>
        </w:tc>
      </w:tr>
      <w:tr w14:paraId="2C6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225" w:type="pct"/>
            <w:vMerge w:val="continue"/>
          </w:tcPr>
          <w:p w14:paraId="67C3F28D">
            <w:pPr>
              <w:autoSpaceDE w:val="0"/>
              <w:autoSpaceDN w:val="0"/>
              <w:jc w:val="center"/>
              <w:rPr>
                <w:b/>
                <w:bCs/>
                <w:spacing w:val="-4"/>
                <w:kern w:val="0"/>
                <w:sz w:val="18"/>
                <w:szCs w:val="18"/>
              </w:rPr>
            </w:pPr>
          </w:p>
        </w:tc>
        <w:tc>
          <w:tcPr>
            <w:tcW w:w="531" w:type="pct"/>
            <w:vAlign w:val="center"/>
          </w:tcPr>
          <w:p w14:paraId="633CF372">
            <w:pPr>
              <w:autoSpaceDE w:val="0"/>
              <w:autoSpaceDN w:val="0"/>
              <w:jc w:val="center"/>
              <w:rPr>
                <w:b/>
                <w:bCs/>
                <w:kern w:val="0"/>
                <w:sz w:val="18"/>
                <w:szCs w:val="18"/>
              </w:rPr>
            </w:pPr>
            <w:r>
              <w:rPr>
                <w:b/>
                <w:bCs/>
                <w:spacing w:val="-4"/>
                <w:kern w:val="0"/>
                <w:sz w:val="18"/>
                <w:szCs w:val="18"/>
              </w:rPr>
              <w:t>地理代表性</w:t>
            </w:r>
          </w:p>
          <w:p w14:paraId="34544FA8">
            <w:pPr>
              <w:autoSpaceDE w:val="0"/>
              <w:autoSpaceDN w:val="0"/>
              <w:jc w:val="center"/>
              <w:rPr>
                <w:b/>
                <w:bCs/>
                <w:kern w:val="0"/>
                <w:sz w:val="18"/>
                <w:szCs w:val="18"/>
              </w:rPr>
            </w:pPr>
            <w:r>
              <w:rPr>
                <w:b/>
                <w:bCs/>
                <w:spacing w:val="-4"/>
                <w:kern w:val="0"/>
                <w:position w:val="1"/>
                <w:sz w:val="18"/>
                <w:szCs w:val="18"/>
              </w:rPr>
              <w:t>（U</w:t>
            </w:r>
            <w:r>
              <w:rPr>
                <w:b/>
                <w:bCs/>
                <w:spacing w:val="-4"/>
                <w:kern w:val="0"/>
                <w:sz w:val="18"/>
                <w:szCs w:val="18"/>
                <w:vertAlign w:val="subscript"/>
              </w:rPr>
              <w:t>4</w:t>
            </w:r>
            <w:r>
              <w:rPr>
                <w:b/>
                <w:bCs/>
                <w:spacing w:val="-4"/>
                <w:kern w:val="0"/>
                <w:position w:val="1"/>
                <w:sz w:val="18"/>
                <w:szCs w:val="18"/>
              </w:rPr>
              <w:t>）</w:t>
            </w:r>
          </w:p>
        </w:tc>
        <w:tc>
          <w:tcPr>
            <w:tcW w:w="849" w:type="pct"/>
            <w:vAlign w:val="center"/>
          </w:tcPr>
          <w:p w14:paraId="2180A172">
            <w:pPr>
              <w:autoSpaceDE w:val="0"/>
              <w:autoSpaceDN w:val="0"/>
              <w:jc w:val="center"/>
              <w:rPr>
                <w:kern w:val="0"/>
                <w:sz w:val="18"/>
                <w:szCs w:val="18"/>
              </w:rPr>
            </w:pPr>
            <w:r>
              <w:rPr>
                <w:kern w:val="0"/>
                <w:sz w:val="18"/>
                <w:szCs w:val="18"/>
              </w:rPr>
              <w:t>企业数据</w:t>
            </w:r>
          </w:p>
        </w:tc>
        <w:tc>
          <w:tcPr>
            <w:tcW w:w="849" w:type="pct"/>
            <w:vAlign w:val="center"/>
          </w:tcPr>
          <w:p w14:paraId="5EBE5BD8">
            <w:pPr>
              <w:autoSpaceDE w:val="0"/>
              <w:autoSpaceDN w:val="0"/>
              <w:jc w:val="center"/>
              <w:rPr>
                <w:kern w:val="0"/>
                <w:sz w:val="18"/>
                <w:szCs w:val="18"/>
              </w:rPr>
            </w:pPr>
            <w:r>
              <w:rPr>
                <w:kern w:val="0"/>
                <w:sz w:val="18"/>
                <w:szCs w:val="18"/>
              </w:rPr>
              <w:t>国内数据</w:t>
            </w:r>
          </w:p>
        </w:tc>
        <w:tc>
          <w:tcPr>
            <w:tcW w:w="849" w:type="pct"/>
            <w:vAlign w:val="center"/>
          </w:tcPr>
          <w:p w14:paraId="47D6479B">
            <w:pPr>
              <w:autoSpaceDE w:val="0"/>
              <w:autoSpaceDN w:val="0"/>
              <w:jc w:val="center"/>
              <w:rPr>
                <w:kern w:val="0"/>
                <w:sz w:val="18"/>
                <w:szCs w:val="18"/>
              </w:rPr>
            </w:pPr>
            <w:r>
              <w:rPr>
                <w:kern w:val="0"/>
                <w:sz w:val="18"/>
                <w:szCs w:val="18"/>
              </w:rPr>
              <w:t>亚洲数据</w:t>
            </w:r>
          </w:p>
        </w:tc>
        <w:tc>
          <w:tcPr>
            <w:tcW w:w="849" w:type="pct"/>
            <w:vAlign w:val="center"/>
          </w:tcPr>
          <w:p w14:paraId="0285F2DC">
            <w:pPr>
              <w:autoSpaceDE w:val="0"/>
              <w:autoSpaceDN w:val="0"/>
              <w:jc w:val="center"/>
              <w:rPr>
                <w:kern w:val="0"/>
                <w:sz w:val="18"/>
                <w:szCs w:val="18"/>
              </w:rPr>
            </w:pPr>
            <w:r>
              <w:rPr>
                <w:kern w:val="0"/>
                <w:sz w:val="18"/>
                <w:szCs w:val="18"/>
              </w:rPr>
              <w:t>全球数据，但根据专家判断，估计有足够的相似性</w:t>
            </w:r>
          </w:p>
        </w:tc>
        <w:tc>
          <w:tcPr>
            <w:tcW w:w="849" w:type="pct"/>
            <w:vAlign w:val="center"/>
          </w:tcPr>
          <w:p w14:paraId="67C28476">
            <w:pPr>
              <w:autoSpaceDE w:val="0"/>
              <w:autoSpaceDN w:val="0"/>
              <w:jc w:val="center"/>
              <w:rPr>
                <w:kern w:val="0"/>
                <w:sz w:val="18"/>
                <w:szCs w:val="18"/>
              </w:rPr>
            </w:pPr>
            <w:r>
              <w:rPr>
                <w:kern w:val="0"/>
                <w:sz w:val="18"/>
                <w:szCs w:val="18"/>
              </w:rPr>
              <w:t>其他数据</w:t>
            </w:r>
          </w:p>
        </w:tc>
      </w:tr>
      <w:tr w14:paraId="6086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225" w:type="pct"/>
            <w:vMerge w:val="continue"/>
          </w:tcPr>
          <w:p w14:paraId="10D8C3AD">
            <w:pPr>
              <w:autoSpaceDE w:val="0"/>
              <w:autoSpaceDN w:val="0"/>
              <w:jc w:val="center"/>
              <w:rPr>
                <w:b/>
                <w:bCs/>
                <w:spacing w:val="-4"/>
                <w:kern w:val="0"/>
                <w:sz w:val="18"/>
                <w:szCs w:val="18"/>
              </w:rPr>
            </w:pPr>
          </w:p>
        </w:tc>
        <w:tc>
          <w:tcPr>
            <w:tcW w:w="531" w:type="pct"/>
            <w:vAlign w:val="center"/>
          </w:tcPr>
          <w:p w14:paraId="66D78110">
            <w:pPr>
              <w:autoSpaceDE w:val="0"/>
              <w:autoSpaceDN w:val="0"/>
              <w:jc w:val="center"/>
              <w:rPr>
                <w:b/>
                <w:bCs/>
                <w:kern w:val="0"/>
                <w:sz w:val="18"/>
                <w:szCs w:val="18"/>
              </w:rPr>
            </w:pPr>
            <w:r>
              <w:rPr>
                <w:b/>
                <w:bCs/>
                <w:spacing w:val="-4"/>
                <w:kern w:val="0"/>
                <w:sz w:val="18"/>
                <w:szCs w:val="18"/>
              </w:rPr>
              <w:t>时间代表性</w:t>
            </w:r>
          </w:p>
          <w:p w14:paraId="747F2C02">
            <w:pPr>
              <w:autoSpaceDE w:val="0"/>
              <w:autoSpaceDN w:val="0"/>
              <w:jc w:val="center"/>
              <w:rPr>
                <w:b/>
                <w:bCs/>
                <w:kern w:val="0"/>
                <w:sz w:val="18"/>
                <w:szCs w:val="18"/>
              </w:rPr>
            </w:pPr>
            <w:r>
              <w:rPr>
                <w:b/>
                <w:bCs/>
                <w:spacing w:val="-4"/>
                <w:kern w:val="0"/>
                <w:position w:val="1"/>
                <w:sz w:val="18"/>
                <w:szCs w:val="18"/>
              </w:rPr>
              <w:t>（U</w:t>
            </w:r>
            <w:r>
              <w:rPr>
                <w:b/>
                <w:bCs/>
                <w:spacing w:val="-4"/>
                <w:kern w:val="0"/>
                <w:sz w:val="18"/>
                <w:szCs w:val="18"/>
                <w:vertAlign w:val="subscript"/>
              </w:rPr>
              <w:t>5</w:t>
            </w:r>
            <w:r>
              <w:rPr>
                <w:b/>
                <w:bCs/>
                <w:spacing w:val="-4"/>
                <w:kern w:val="0"/>
                <w:position w:val="1"/>
                <w:sz w:val="18"/>
                <w:szCs w:val="18"/>
              </w:rPr>
              <w:t>）</w:t>
            </w:r>
          </w:p>
        </w:tc>
        <w:tc>
          <w:tcPr>
            <w:tcW w:w="849" w:type="pct"/>
            <w:vAlign w:val="center"/>
          </w:tcPr>
          <w:p w14:paraId="4DC849D4">
            <w:pPr>
              <w:autoSpaceDE w:val="0"/>
              <w:autoSpaceDN w:val="0"/>
              <w:jc w:val="center"/>
              <w:rPr>
                <w:kern w:val="0"/>
                <w:sz w:val="18"/>
                <w:szCs w:val="18"/>
              </w:rPr>
            </w:pPr>
            <w:bookmarkStart w:id="48" w:name="OLE_LINK13"/>
            <w:r>
              <w:rPr>
                <w:spacing w:val="-2"/>
                <w:kern w:val="0"/>
                <w:sz w:val="18"/>
                <w:szCs w:val="18"/>
              </w:rPr>
              <w:t>碳足迹因子数据为报告年份1年内数据</w:t>
            </w:r>
            <w:bookmarkEnd w:id="48"/>
          </w:p>
        </w:tc>
        <w:tc>
          <w:tcPr>
            <w:tcW w:w="849" w:type="pct"/>
            <w:vAlign w:val="center"/>
          </w:tcPr>
          <w:p w14:paraId="17C522A9">
            <w:pPr>
              <w:autoSpaceDE w:val="0"/>
              <w:autoSpaceDN w:val="0"/>
              <w:jc w:val="center"/>
              <w:rPr>
                <w:kern w:val="0"/>
                <w:sz w:val="18"/>
                <w:szCs w:val="18"/>
              </w:rPr>
            </w:pPr>
            <w:r>
              <w:rPr>
                <w:spacing w:val="-2"/>
                <w:kern w:val="0"/>
                <w:sz w:val="18"/>
                <w:szCs w:val="18"/>
              </w:rPr>
              <w:t>碳足迹因子数据为报告年份2年内数据</w:t>
            </w:r>
          </w:p>
        </w:tc>
        <w:tc>
          <w:tcPr>
            <w:tcW w:w="849" w:type="pct"/>
            <w:vAlign w:val="center"/>
          </w:tcPr>
          <w:p w14:paraId="00CF5C4E">
            <w:pPr>
              <w:autoSpaceDE w:val="0"/>
              <w:autoSpaceDN w:val="0"/>
              <w:jc w:val="center"/>
              <w:rPr>
                <w:kern w:val="0"/>
                <w:sz w:val="18"/>
                <w:szCs w:val="18"/>
              </w:rPr>
            </w:pPr>
            <w:r>
              <w:rPr>
                <w:spacing w:val="-2"/>
                <w:kern w:val="0"/>
                <w:sz w:val="18"/>
                <w:szCs w:val="18"/>
              </w:rPr>
              <w:t>碳足迹因子数据为报告评价年份4年内数据</w:t>
            </w:r>
          </w:p>
        </w:tc>
        <w:tc>
          <w:tcPr>
            <w:tcW w:w="849" w:type="pct"/>
            <w:vAlign w:val="center"/>
          </w:tcPr>
          <w:p w14:paraId="2E14C493">
            <w:pPr>
              <w:autoSpaceDE w:val="0"/>
              <w:autoSpaceDN w:val="0"/>
              <w:jc w:val="center"/>
              <w:rPr>
                <w:kern w:val="0"/>
                <w:sz w:val="18"/>
                <w:szCs w:val="18"/>
              </w:rPr>
            </w:pPr>
            <w:r>
              <w:rPr>
                <w:spacing w:val="-2"/>
                <w:kern w:val="0"/>
                <w:sz w:val="18"/>
                <w:szCs w:val="18"/>
              </w:rPr>
              <w:t>碳足迹因子数据为报告评价年份6年内数据</w:t>
            </w:r>
          </w:p>
        </w:tc>
        <w:tc>
          <w:tcPr>
            <w:tcW w:w="849" w:type="pct"/>
            <w:vAlign w:val="center"/>
          </w:tcPr>
          <w:p w14:paraId="6DC603A2">
            <w:pPr>
              <w:autoSpaceDE w:val="0"/>
              <w:autoSpaceDN w:val="0"/>
              <w:jc w:val="center"/>
              <w:rPr>
                <w:kern w:val="0"/>
                <w:sz w:val="18"/>
                <w:szCs w:val="18"/>
              </w:rPr>
            </w:pPr>
            <w:r>
              <w:rPr>
                <w:spacing w:val="-2"/>
                <w:kern w:val="0"/>
                <w:sz w:val="18"/>
                <w:szCs w:val="18"/>
              </w:rPr>
              <w:t>碳足迹因子数据为报告评价年份6年以上数据，或未指定时间有效期</w:t>
            </w:r>
          </w:p>
        </w:tc>
      </w:tr>
    </w:tbl>
    <w:p w14:paraId="1A620883">
      <w:pPr>
        <w:autoSpaceDE w:val="0"/>
        <w:autoSpaceDN w:val="0"/>
        <w:spacing w:before="2"/>
        <w:jc w:val="left"/>
        <w:rPr>
          <w:kern w:val="0"/>
          <w:sz w:val="22"/>
          <w:szCs w:val="21"/>
        </w:rPr>
      </w:pPr>
    </w:p>
    <w:p w14:paraId="3DED442F">
      <w:pPr>
        <w:pStyle w:val="28"/>
        <w:spacing w:before="156" w:beforeLines="50" w:line="360" w:lineRule="auto"/>
        <w:ind w:firstLine="0" w:firstLineChars="0"/>
        <w:rPr>
          <w:rFonts w:ascii="Times New Roman" w:eastAsia="黑体"/>
        </w:rPr>
      </w:pPr>
    </w:p>
    <w:p w14:paraId="2BEADA03">
      <w:pPr>
        <w:spacing w:before="32" w:line="221" w:lineRule="auto"/>
        <w:jc w:val="center"/>
        <w:rPr>
          <w:rFonts w:eastAsia="黑体"/>
          <w:kern w:val="0"/>
          <w:szCs w:val="20"/>
        </w:rPr>
      </w:pPr>
    </w:p>
    <w:p w14:paraId="690C6B84">
      <w:pPr>
        <w:spacing w:before="32" w:line="221" w:lineRule="auto"/>
        <w:jc w:val="center"/>
        <w:rPr>
          <w:rFonts w:eastAsia="黑体"/>
          <w:kern w:val="0"/>
          <w:szCs w:val="20"/>
        </w:rPr>
      </w:pPr>
    </w:p>
    <w:p w14:paraId="43D89550">
      <w:pPr>
        <w:pStyle w:val="53"/>
        <w:numPr>
          <w:ilvl w:val="0"/>
          <w:numId w:val="0"/>
        </w:numPr>
        <w:spacing w:beforeLines="0" w:afterLines="0" w:line="360" w:lineRule="auto"/>
        <w:jc w:val="center"/>
        <w:rPr>
          <w:rFonts w:ascii="Times New Roman"/>
        </w:rPr>
      </w:pPr>
      <w:bookmarkStart w:id="49" w:name="_Toc211864633"/>
      <w:r>
        <w:rPr>
          <w:rFonts w:ascii="Times New Roman"/>
        </w:rPr>
        <w:t>附录D</w:t>
      </w:r>
      <w:r>
        <w:rPr>
          <w:rFonts w:ascii="Times New Roman"/>
        </w:rPr>
        <w:br w:type="textWrapping"/>
      </w:r>
      <w:r>
        <w:rPr>
          <w:rFonts w:hint="eastAsia" w:ascii="Times New Roman"/>
        </w:rPr>
        <w:t>（资料性）</w:t>
      </w:r>
      <w:r>
        <w:rPr>
          <w:rFonts w:ascii="Times New Roman"/>
        </w:rPr>
        <w:br w:type="textWrapping"/>
      </w:r>
      <w:r>
        <w:rPr>
          <w:rFonts w:hint="eastAsia" w:ascii="Times New Roman"/>
        </w:rPr>
        <w:t>产品碳足迹报告（模板）</w:t>
      </w:r>
      <w:bookmarkEnd w:id="49"/>
    </w:p>
    <w:p w14:paraId="52F2B362">
      <w:pPr>
        <w:spacing w:before="32" w:line="221" w:lineRule="auto"/>
        <w:jc w:val="center"/>
        <w:rPr>
          <w:rFonts w:eastAsia="黑体"/>
          <w:kern w:val="0"/>
          <w:szCs w:val="20"/>
        </w:rPr>
      </w:pPr>
    </w:p>
    <w:p w14:paraId="061AA8CB">
      <w:pPr>
        <w:spacing w:before="289" w:line="218" w:lineRule="auto"/>
        <w:ind w:left="63"/>
        <w:rPr>
          <w:sz w:val="22"/>
          <w:szCs w:val="22"/>
        </w:rPr>
      </w:pPr>
      <w:r>
        <w:rPr>
          <w:sz w:val="22"/>
          <w:szCs w:val="22"/>
        </w:rPr>
        <w:t>产品碳足迹报告格式模板如下。</w:t>
      </w:r>
    </w:p>
    <w:p w14:paraId="47CA3921">
      <w:pPr>
        <w:pStyle w:val="13"/>
        <w:spacing w:line="254" w:lineRule="auto"/>
        <w:rPr>
          <w:rFonts w:ascii="Times New Roman" w:hAnsi="Times New Roman" w:cs="Times New Roman"/>
          <w:lang w:eastAsia="zh-CN"/>
        </w:rPr>
      </w:pPr>
    </w:p>
    <w:p w14:paraId="1DEF546D">
      <w:pPr>
        <w:jc w:val="center"/>
        <w:rPr>
          <w:b/>
          <w:bCs/>
          <w:sz w:val="32"/>
          <w:szCs w:val="40"/>
        </w:rPr>
      </w:pPr>
      <w:bookmarkStart w:id="50" w:name="bookmark19"/>
      <w:bookmarkEnd w:id="50"/>
      <w:bookmarkStart w:id="51" w:name="bookmark34"/>
      <w:bookmarkEnd w:id="51"/>
      <w:r>
        <w:rPr>
          <w:b/>
          <w:bCs/>
          <w:sz w:val="32"/>
          <w:szCs w:val="40"/>
        </w:rPr>
        <w:t>产品碳足迹报告</w:t>
      </w:r>
      <w:r>
        <w:rPr>
          <w:rFonts w:hint="eastAsia"/>
          <w:b/>
          <w:bCs/>
          <w:sz w:val="32"/>
          <w:szCs w:val="40"/>
        </w:rPr>
        <w:t>（</w:t>
      </w:r>
      <w:r>
        <w:rPr>
          <w:b/>
          <w:bCs/>
          <w:sz w:val="32"/>
          <w:szCs w:val="40"/>
        </w:rPr>
        <w:t>模板</w:t>
      </w:r>
      <w:r>
        <w:rPr>
          <w:rFonts w:hint="eastAsia"/>
          <w:b/>
          <w:bCs/>
          <w:sz w:val="32"/>
          <w:szCs w:val="40"/>
        </w:rPr>
        <w:t>）</w:t>
      </w:r>
    </w:p>
    <w:p w14:paraId="0186976B">
      <w:pPr>
        <w:pStyle w:val="13"/>
        <w:spacing w:line="261" w:lineRule="auto"/>
        <w:rPr>
          <w:rFonts w:ascii="Times New Roman" w:hAnsi="Times New Roman" w:cs="Times New Roman"/>
          <w:lang w:eastAsia="zh-CN"/>
        </w:rPr>
      </w:pPr>
    </w:p>
    <w:p w14:paraId="236B91BB">
      <w:pPr>
        <w:pStyle w:val="13"/>
        <w:spacing w:line="261" w:lineRule="auto"/>
        <w:rPr>
          <w:rFonts w:ascii="Times New Roman" w:hAnsi="Times New Roman" w:cs="Times New Roman"/>
          <w:lang w:eastAsia="zh-CN"/>
        </w:rPr>
      </w:pPr>
    </w:p>
    <w:p w14:paraId="70C26CB4">
      <w:pPr>
        <w:pStyle w:val="13"/>
        <w:spacing w:line="261" w:lineRule="auto"/>
        <w:rPr>
          <w:rFonts w:ascii="Times New Roman" w:hAnsi="Times New Roman" w:cs="Times New Roman"/>
          <w:lang w:eastAsia="zh-CN"/>
        </w:rPr>
      </w:pPr>
    </w:p>
    <w:p w14:paraId="6DD11C74">
      <w:pPr>
        <w:pStyle w:val="13"/>
        <w:spacing w:line="262" w:lineRule="auto"/>
        <w:rPr>
          <w:rFonts w:ascii="Times New Roman" w:hAnsi="Times New Roman" w:cs="Times New Roman"/>
          <w:lang w:eastAsia="zh-CN"/>
        </w:rPr>
      </w:pPr>
    </w:p>
    <w:p w14:paraId="0A3D7552">
      <w:pPr>
        <w:pStyle w:val="13"/>
        <w:spacing w:line="262" w:lineRule="auto"/>
        <w:rPr>
          <w:rFonts w:ascii="Times New Roman" w:hAnsi="Times New Roman" w:cs="Times New Roman"/>
          <w:lang w:eastAsia="zh-CN"/>
        </w:rPr>
      </w:pPr>
    </w:p>
    <w:p w14:paraId="72CA82E8">
      <w:pPr>
        <w:tabs>
          <w:tab w:val="left" w:pos="7362"/>
        </w:tabs>
        <w:spacing w:before="91" w:line="399" w:lineRule="auto"/>
        <w:ind w:left="1073" w:right="1476"/>
        <w:rPr>
          <w:sz w:val="28"/>
          <w:szCs w:val="28"/>
        </w:rPr>
      </w:pPr>
      <w:r>
        <w:rPr>
          <w:w w:val="95"/>
          <w:sz w:val="28"/>
          <w:szCs w:val="28"/>
        </w:rPr>
        <w:t>产品名称</w:t>
      </w:r>
      <w:r>
        <w:rPr>
          <w:sz w:val="28"/>
          <w:szCs w:val="28"/>
        </w:rPr>
        <w:t xml:space="preserve"> </w:t>
      </w:r>
      <w:r>
        <w:rPr>
          <w:w w:val="95"/>
          <w:sz w:val="28"/>
          <w:szCs w:val="28"/>
        </w:rPr>
        <w:t>：</w:t>
      </w:r>
      <w:r>
        <w:rPr>
          <w:sz w:val="28"/>
          <w:szCs w:val="28"/>
          <w:u w:val="single"/>
        </w:rPr>
        <w:tab/>
      </w:r>
      <w:r>
        <w:rPr>
          <w:sz w:val="28"/>
          <w:szCs w:val="28"/>
        </w:rPr>
        <w:t xml:space="preserve"> </w:t>
      </w:r>
    </w:p>
    <w:p w14:paraId="5E0D005B">
      <w:pPr>
        <w:tabs>
          <w:tab w:val="left" w:pos="7362"/>
        </w:tabs>
        <w:spacing w:before="91" w:line="399" w:lineRule="auto"/>
        <w:ind w:left="1073" w:right="1476"/>
        <w:rPr>
          <w:sz w:val="28"/>
          <w:szCs w:val="28"/>
        </w:rPr>
      </w:pPr>
      <w:r>
        <w:rPr>
          <w:sz w:val="28"/>
          <w:szCs w:val="28"/>
        </w:rPr>
        <w:t>产品规格型号：</w:t>
      </w:r>
      <w:r>
        <w:rPr>
          <w:sz w:val="28"/>
          <w:szCs w:val="28"/>
          <w:u w:val="single"/>
        </w:rPr>
        <w:tab/>
      </w:r>
      <w:r>
        <w:rPr>
          <w:sz w:val="28"/>
          <w:szCs w:val="28"/>
        </w:rPr>
        <w:t xml:space="preserve"> </w:t>
      </w:r>
    </w:p>
    <w:p w14:paraId="33D3897D">
      <w:pPr>
        <w:tabs>
          <w:tab w:val="left" w:pos="7362"/>
        </w:tabs>
        <w:spacing w:before="91" w:line="399" w:lineRule="auto"/>
        <w:ind w:left="1073" w:right="1476"/>
        <w:rPr>
          <w:sz w:val="28"/>
          <w:szCs w:val="28"/>
        </w:rPr>
      </w:pPr>
      <w:r>
        <w:rPr>
          <w:sz w:val="28"/>
          <w:szCs w:val="28"/>
        </w:rPr>
        <w:t>生产者名称 ：</w:t>
      </w:r>
      <w:r>
        <w:rPr>
          <w:sz w:val="28"/>
          <w:szCs w:val="28"/>
          <w:u w:val="single"/>
        </w:rPr>
        <w:tab/>
      </w:r>
      <w:r>
        <w:rPr>
          <w:sz w:val="28"/>
          <w:szCs w:val="28"/>
        </w:rPr>
        <w:t xml:space="preserve"> </w:t>
      </w:r>
    </w:p>
    <w:p w14:paraId="554E3F80">
      <w:pPr>
        <w:tabs>
          <w:tab w:val="left" w:pos="7362"/>
        </w:tabs>
        <w:spacing w:before="91" w:line="399" w:lineRule="auto"/>
        <w:ind w:left="1073" w:right="1476"/>
        <w:rPr>
          <w:sz w:val="28"/>
          <w:szCs w:val="28"/>
        </w:rPr>
      </w:pPr>
      <w:r>
        <w:rPr>
          <w:w w:val="95"/>
          <w:sz w:val="28"/>
          <w:szCs w:val="28"/>
        </w:rPr>
        <w:t>报告编号</w:t>
      </w:r>
      <w:r>
        <w:rPr>
          <w:sz w:val="28"/>
          <w:szCs w:val="28"/>
        </w:rPr>
        <w:t xml:space="preserve"> </w:t>
      </w:r>
      <w:r>
        <w:rPr>
          <w:w w:val="95"/>
          <w:sz w:val="28"/>
          <w:szCs w:val="28"/>
        </w:rPr>
        <w:t>：</w:t>
      </w:r>
      <w:r>
        <w:rPr>
          <w:sz w:val="28"/>
          <w:szCs w:val="28"/>
          <w:u w:val="single"/>
        </w:rPr>
        <w:t xml:space="preserve"> </w:t>
      </w:r>
      <w:r>
        <w:rPr>
          <w:sz w:val="28"/>
          <w:szCs w:val="28"/>
          <w:u w:val="single"/>
        </w:rPr>
        <w:tab/>
      </w:r>
      <w:r>
        <w:rPr>
          <w:sz w:val="28"/>
          <w:szCs w:val="28"/>
          <w:u w:val="single"/>
        </w:rPr>
        <w:t xml:space="preserve">                                </w:t>
      </w:r>
    </w:p>
    <w:p w14:paraId="35E6E918">
      <w:pPr>
        <w:pStyle w:val="13"/>
        <w:spacing w:line="251" w:lineRule="auto"/>
        <w:rPr>
          <w:rFonts w:ascii="Times New Roman" w:hAnsi="Times New Roman" w:cs="Times New Roman"/>
          <w:lang w:eastAsia="zh-CN"/>
        </w:rPr>
      </w:pPr>
    </w:p>
    <w:p w14:paraId="7688FE27">
      <w:pPr>
        <w:pStyle w:val="13"/>
        <w:spacing w:line="251" w:lineRule="auto"/>
        <w:rPr>
          <w:rFonts w:ascii="Times New Roman" w:hAnsi="Times New Roman" w:cs="Times New Roman"/>
          <w:lang w:eastAsia="zh-CN"/>
        </w:rPr>
      </w:pPr>
    </w:p>
    <w:p w14:paraId="008B2677">
      <w:pPr>
        <w:pStyle w:val="13"/>
        <w:spacing w:line="252" w:lineRule="auto"/>
        <w:rPr>
          <w:rFonts w:ascii="Times New Roman" w:hAnsi="Times New Roman" w:cs="Times New Roman"/>
          <w:lang w:eastAsia="zh-CN"/>
        </w:rPr>
      </w:pPr>
    </w:p>
    <w:p w14:paraId="754F664A">
      <w:pPr>
        <w:pStyle w:val="13"/>
        <w:spacing w:line="252" w:lineRule="auto"/>
        <w:rPr>
          <w:rFonts w:ascii="Times New Roman" w:hAnsi="Times New Roman" w:cs="Times New Roman"/>
          <w:lang w:eastAsia="zh-CN"/>
        </w:rPr>
      </w:pPr>
    </w:p>
    <w:p w14:paraId="02141488">
      <w:pPr>
        <w:spacing w:before="92" w:line="437" w:lineRule="auto"/>
        <w:ind w:left="4403" w:hanging="1360"/>
        <w:rPr>
          <w:sz w:val="26"/>
          <w:szCs w:val="26"/>
        </w:rPr>
      </w:pPr>
      <w:r>
        <w:rPr>
          <w:spacing w:val="-8"/>
          <w:sz w:val="24"/>
        </w:rPr>
        <w:t>出具报告机构：(若有)</w:t>
      </w:r>
      <w:r>
        <w:rPr>
          <w:spacing w:val="2"/>
          <w:sz w:val="24"/>
          <w:u w:val="single"/>
        </w:rPr>
        <w:t xml:space="preserve">                </w:t>
      </w:r>
      <w:r>
        <w:rPr>
          <w:spacing w:val="-8"/>
          <w:sz w:val="24"/>
        </w:rPr>
        <w:t>(</w:t>
      </w:r>
      <w:r>
        <w:rPr>
          <w:spacing w:val="-67"/>
          <w:sz w:val="24"/>
        </w:rPr>
        <w:t xml:space="preserve"> </w:t>
      </w:r>
      <w:r>
        <w:rPr>
          <w:spacing w:val="-8"/>
          <w:sz w:val="24"/>
        </w:rPr>
        <w:t>盖章)</w:t>
      </w:r>
      <w:r>
        <w:rPr>
          <w:sz w:val="26"/>
          <w:szCs w:val="26"/>
        </w:rPr>
        <w:t xml:space="preserve"> </w:t>
      </w:r>
    </w:p>
    <w:p w14:paraId="576456C8">
      <w:pPr>
        <w:spacing w:before="92" w:line="437" w:lineRule="auto"/>
        <w:ind w:left="4403" w:hanging="1360"/>
        <w:rPr>
          <w:sz w:val="22"/>
          <w:szCs w:val="22"/>
        </w:rPr>
      </w:pPr>
      <w:r>
        <w:rPr>
          <w:spacing w:val="-34"/>
          <w:sz w:val="22"/>
          <w:szCs w:val="22"/>
        </w:rPr>
        <w:t>日</w:t>
      </w:r>
      <w:r>
        <w:rPr>
          <w:spacing w:val="-29"/>
          <w:sz w:val="22"/>
          <w:szCs w:val="22"/>
        </w:rPr>
        <w:t xml:space="preserve"> </w:t>
      </w:r>
      <w:r>
        <w:rPr>
          <w:spacing w:val="-34"/>
          <w:sz w:val="22"/>
          <w:szCs w:val="22"/>
        </w:rPr>
        <w:t>期</w:t>
      </w:r>
      <w:r>
        <w:rPr>
          <w:spacing w:val="-42"/>
          <w:sz w:val="22"/>
          <w:szCs w:val="22"/>
        </w:rPr>
        <w:t xml:space="preserve"> </w:t>
      </w:r>
      <w:r>
        <w:rPr>
          <w:spacing w:val="-34"/>
          <w:sz w:val="22"/>
          <w:szCs w:val="22"/>
        </w:rPr>
        <w:t>：</w:t>
      </w:r>
      <w:r>
        <w:rPr>
          <w:spacing w:val="8"/>
          <w:sz w:val="22"/>
          <w:szCs w:val="22"/>
          <w:u w:val="single"/>
        </w:rPr>
        <w:t xml:space="preserve">          </w:t>
      </w:r>
      <w:r>
        <w:rPr>
          <w:spacing w:val="-34"/>
          <w:sz w:val="22"/>
          <w:szCs w:val="22"/>
        </w:rPr>
        <w:t>年</w:t>
      </w:r>
      <w:r>
        <w:rPr>
          <w:spacing w:val="-30"/>
          <w:sz w:val="22"/>
          <w:szCs w:val="22"/>
        </w:rPr>
        <w:t xml:space="preserve"> </w:t>
      </w:r>
      <w:r>
        <w:rPr>
          <w:spacing w:val="5"/>
          <w:sz w:val="22"/>
          <w:szCs w:val="22"/>
          <w:u w:val="single"/>
        </w:rPr>
        <w:t xml:space="preserve">        </w:t>
      </w:r>
      <w:r>
        <w:rPr>
          <w:spacing w:val="-100"/>
          <w:sz w:val="22"/>
          <w:szCs w:val="22"/>
        </w:rPr>
        <w:t xml:space="preserve"> </w:t>
      </w:r>
      <w:r>
        <w:rPr>
          <w:spacing w:val="-34"/>
          <w:position w:val="1"/>
          <w:sz w:val="22"/>
          <w:szCs w:val="22"/>
        </w:rPr>
        <w:t>月</w:t>
      </w:r>
      <w:r>
        <w:rPr>
          <w:spacing w:val="-76"/>
          <w:position w:val="1"/>
          <w:sz w:val="22"/>
          <w:szCs w:val="22"/>
        </w:rPr>
        <w:t xml:space="preserve"> </w:t>
      </w:r>
      <w:r>
        <w:rPr>
          <w:spacing w:val="11"/>
          <w:position w:val="1"/>
          <w:sz w:val="22"/>
          <w:szCs w:val="22"/>
          <w:u w:val="single"/>
        </w:rPr>
        <w:t xml:space="preserve">       </w:t>
      </w:r>
      <w:r>
        <w:rPr>
          <w:spacing w:val="-57"/>
          <w:position w:val="1"/>
          <w:sz w:val="22"/>
          <w:szCs w:val="22"/>
        </w:rPr>
        <w:t xml:space="preserve"> </w:t>
      </w:r>
      <w:r>
        <w:rPr>
          <w:spacing w:val="-34"/>
          <w:position w:val="1"/>
          <w:sz w:val="22"/>
          <w:szCs w:val="22"/>
        </w:rPr>
        <w:t>日</w:t>
      </w:r>
    </w:p>
    <w:p w14:paraId="3F622B66">
      <w:pPr>
        <w:pStyle w:val="28"/>
        <w:tabs>
          <w:tab w:val="clear" w:pos="4201"/>
          <w:tab w:val="clear" w:pos="9298"/>
        </w:tabs>
        <w:spacing w:line="360" w:lineRule="auto"/>
        <w:jc w:val="center"/>
        <w:rPr>
          <w:rFonts w:ascii="Times New Roman" w:eastAsia="黑体"/>
        </w:rPr>
      </w:pPr>
    </w:p>
    <w:p w14:paraId="6F2E604C">
      <w:pPr>
        <w:pStyle w:val="28"/>
        <w:tabs>
          <w:tab w:val="clear" w:pos="4201"/>
          <w:tab w:val="clear" w:pos="9298"/>
        </w:tabs>
        <w:spacing w:line="360" w:lineRule="auto"/>
        <w:jc w:val="center"/>
        <w:rPr>
          <w:rFonts w:ascii="Times New Roman" w:eastAsia="黑体"/>
        </w:rPr>
      </w:pPr>
    </w:p>
    <w:p w14:paraId="4F64F511">
      <w:pPr>
        <w:pStyle w:val="28"/>
        <w:tabs>
          <w:tab w:val="clear" w:pos="4201"/>
          <w:tab w:val="clear" w:pos="9298"/>
        </w:tabs>
        <w:spacing w:line="360" w:lineRule="auto"/>
        <w:jc w:val="center"/>
        <w:rPr>
          <w:rFonts w:ascii="Times New Roman" w:eastAsia="黑体"/>
        </w:rPr>
      </w:pPr>
    </w:p>
    <w:p w14:paraId="67078DB7">
      <w:pPr>
        <w:pStyle w:val="28"/>
        <w:tabs>
          <w:tab w:val="clear" w:pos="4201"/>
          <w:tab w:val="clear" w:pos="9298"/>
        </w:tabs>
        <w:spacing w:line="360" w:lineRule="auto"/>
        <w:jc w:val="center"/>
        <w:rPr>
          <w:rFonts w:ascii="Times New Roman" w:eastAsia="黑体"/>
        </w:rPr>
      </w:pPr>
    </w:p>
    <w:p w14:paraId="3427B262">
      <w:pPr>
        <w:pStyle w:val="28"/>
        <w:tabs>
          <w:tab w:val="clear" w:pos="4201"/>
          <w:tab w:val="clear" w:pos="9298"/>
        </w:tabs>
        <w:spacing w:line="360" w:lineRule="auto"/>
        <w:jc w:val="center"/>
        <w:rPr>
          <w:rFonts w:ascii="Times New Roman" w:eastAsia="黑体"/>
        </w:rPr>
      </w:pPr>
    </w:p>
    <w:p w14:paraId="1B1D3B4F">
      <w:pPr>
        <w:spacing w:line="360" w:lineRule="auto"/>
        <w:ind w:left="3"/>
        <w:rPr>
          <w:rFonts w:eastAsia="黑体"/>
          <w:szCs w:val="21"/>
        </w:rPr>
      </w:pPr>
      <w:r>
        <w:rPr>
          <w:rFonts w:eastAsia="黑体"/>
          <w:b/>
          <w:bCs/>
          <w:szCs w:val="21"/>
        </w:rPr>
        <w:t>一、概况</w:t>
      </w:r>
    </w:p>
    <w:p w14:paraId="4B791340">
      <w:pPr>
        <w:spacing w:line="360" w:lineRule="auto"/>
        <w:ind w:left="2"/>
        <w:rPr>
          <w:rFonts w:eastAsia="黑体"/>
          <w:szCs w:val="21"/>
        </w:rPr>
      </w:pPr>
      <w:r>
        <w:rPr>
          <w:rFonts w:eastAsia="黑体"/>
          <w:b/>
          <w:bCs/>
          <w:szCs w:val="21"/>
        </w:rPr>
        <w:t>1.生产者信息</w:t>
      </w:r>
    </w:p>
    <w:p w14:paraId="7EE45803">
      <w:pPr>
        <w:tabs>
          <w:tab w:val="left" w:pos="4150"/>
          <w:tab w:val="left" w:pos="4180"/>
        </w:tabs>
        <w:spacing w:line="360" w:lineRule="auto"/>
        <w:ind w:right="4663"/>
        <w:rPr>
          <w:szCs w:val="21"/>
        </w:rPr>
      </w:pPr>
      <w:r>
        <w:rPr>
          <w:szCs w:val="21"/>
        </w:rPr>
        <w:t>生产者名称 ：</w:t>
      </w:r>
      <w:r>
        <w:rPr>
          <w:szCs w:val="21"/>
          <w:u w:val="single"/>
        </w:rPr>
        <w:tab/>
      </w:r>
      <w:r>
        <w:rPr>
          <w:szCs w:val="21"/>
        </w:rPr>
        <w:t xml:space="preserve"> </w:t>
      </w:r>
    </w:p>
    <w:p w14:paraId="19115C29">
      <w:pPr>
        <w:tabs>
          <w:tab w:val="left" w:pos="4150"/>
          <w:tab w:val="left" w:pos="4180"/>
        </w:tabs>
        <w:spacing w:line="360" w:lineRule="auto"/>
        <w:ind w:right="4663"/>
        <w:rPr>
          <w:szCs w:val="21"/>
        </w:rPr>
      </w:pPr>
      <w:r>
        <w:rPr>
          <w:szCs w:val="21"/>
        </w:rPr>
        <w:t>地      址 ：</w:t>
      </w:r>
      <w:r>
        <w:rPr>
          <w:szCs w:val="21"/>
          <w:u w:val="single"/>
        </w:rPr>
        <w:tab/>
      </w:r>
      <w:r>
        <w:rPr>
          <w:szCs w:val="21"/>
          <w:u w:val="single"/>
        </w:rPr>
        <w:tab/>
      </w:r>
      <w:r>
        <w:rPr>
          <w:szCs w:val="21"/>
        </w:rPr>
        <w:t xml:space="preserve"> </w:t>
      </w:r>
    </w:p>
    <w:p w14:paraId="4A09481E">
      <w:pPr>
        <w:tabs>
          <w:tab w:val="left" w:pos="4150"/>
          <w:tab w:val="left" w:pos="4180"/>
        </w:tabs>
        <w:spacing w:line="360" w:lineRule="auto"/>
        <w:ind w:right="4663"/>
        <w:rPr>
          <w:szCs w:val="21"/>
        </w:rPr>
      </w:pPr>
      <w:r>
        <w:rPr>
          <w:szCs w:val="21"/>
        </w:rPr>
        <w:t>法定代表人 ：</w:t>
      </w:r>
      <w:r>
        <w:rPr>
          <w:szCs w:val="21"/>
          <w:u w:val="single"/>
        </w:rPr>
        <w:tab/>
      </w:r>
      <w:r>
        <w:rPr>
          <w:szCs w:val="21"/>
          <w:u w:val="single"/>
        </w:rPr>
        <w:tab/>
      </w:r>
      <w:r>
        <w:rPr>
          <w:szCs w:val="21"/>
        </w:rPr>
        <w:t xml:space="preserve"> </w:t>
      </w:r>
    </w:p>
    <w:p w14:paraId="61207BB7">
      <w:pPr>
        <w:tabs>
          <w:tab w:val="left" w:pos="4150"/>
          <w:tab w:val="left" w:pos="4180"/>
        </w:tabs>
        <w:spacing w:line="360" w:lineRule="auto"/>
        <w:ind w:right="4663"/>
        <w:rPr>
          <w:szCs w:val="21"/>
        </w:rPr>
      </w:pPr>
      <w:r>
        <w:rPr>
          <w:szCs w:val="21"/>
        </w:rPr>
        <w:t xml:space="preserve">授权人(联系人): </w:t>
      </w:r>
      <w:r>
        <w:rPr>
          <w:szCs w:val="21"/>
          <w:u w:val="single"/>
        </w:rPr>
        <w:tab/>
      </w:r>
      <w:r>
        <w:rPr>
          <w:szCs w:val="21"/>
          <w:u w:val="single"/>
        </w:rPr>
        <w:tab/>
      </w:r>
      <w:r>
        <w:rPr>
          <w:szCs w:val="21"/>
        </w:rPr>
        <w:t xml:space="preserve"> </w:t>
      </w:r>
    </w:p>
    <w:p w14:paraId="36370CFF">
      <w:pPr>
        <w:tabs>
          <w:tab w:val="left" w:pos="4150"/>
          <w:tab w:val="left" w:pos="4180"/>
        </w:tabs>
        <w:spacing w:line="360" w:lineRule="auto"/>
        <w:ind w:right="4663"/>
        <w:rPr>
          <w:szCs w:val="21"/>
        </w:rPr>
      </w:pPr>
      <w:r>
        <w:rPr>
          <w:szCs w:val="21"/>
        </w:rPr>
        <w:t>联系电话 ：</w:t>
      </w:r>
      <w:r>
        <w:rPr>
          <w:szCs w:val="21"/>
          <w:u w:val="single"/>
        </w:rPr>
        <w:tab/>
      </w:r>
      <w:r>
        <w:rPr>
          <w:szCs w:val="21"/>
          <w:u w:val="single"/>
        </w:rPr>
        <w:tab/>
      </w:r>
      <w:r>
        <w:rPr>
          <w:szCs w:val="21"/>
        </w:rPr>
        <w:t xml:space="preserve"> </w:t>
      </w:r>
    </w:p>
    <w:p w14:paraId="78FA7397">
      <w:pPr>
        <w:tabs>
          <w:tab w:val="left" w:pos="4150"/>
          <w:tab w:val="left" w:pos="4180"/>
        </w:tabs>
        <w:spacing w:line="360" w:lineRule="auto"/>
        <w:ind w:right="4663"/>
        <w:rPr>
          <w:szCs w:val="21"/>
        </w:rPr>
      </w:pPr>
      <w:r>
        <w:rPr>
          <w:szCs w:val="21"/>
        </w:rPr>
        <w:t>企业概况 ：</w:t>
      </w:r>
      <w:r>
        <w:rPr>
          <w:szCs w:val="21"/>
          <w:u w:val="single"/>
        </w:rPr>
        <w:tab/>
      </w:r>
      <w:r>
        <w:rPr>
          <w:szCs w:val="21"/>
          <w:u w:val="single"/>
        </w:rPr>
        <w:tab/>
      </w:r>
      <w:r>
        <w:rPr>
          <w:szCs w:val="21"/>
          <w:u w:val="single"/>
        </w:rPr>
        <w:t xml:space="preserve"> </w:t>
      </w:r>
    </w:p>
    <w:p w14:paraId="3B3169B5">
      <w:pPr>
        <w:spacing w:line="360" w:lineRule="auto"/>
        <w:ind w:left="3"/>
        <w:rPr>
          <w:rFonts w:eastAsia="黑体"/>
          <w:szCs w:val="21"/>
        </w:rPr>
      </w:pPr>
      <w:r>
        <w:rPr>
          <w:rFonts w:eastAsia="黑体"/>
          <w:b/>
          <w:bCs/>
          <w:szCs w:val="21"/>
        </w:rPr>
        <w:t>2.产品信息</w:t>
      </w:r>
    </w:p>
    <w:p w14:paraId="71B11659">
      <w:pPr>
        <w:tabs>
          <w:tab w:val="left" w:pos="4150"/>
          <w:tab w:val="left" w:pos="4180"/>
        </w:tabs>
        <w:spacing w:line="360" w:lineRule="auto"/>
        <w:ind w:right="4663"/>
        <w:rPr>
          <w:szCs w:val="21"/>
        </w:rPr>
      </w:pPr>
      <w:r>
        <w:rPr>
          <w:szCs w:val="21"/>
        </w:rPr>
        <w:t>产品名称：</w:t>
      </w:r>
      <w:r>
        <w:rPr>
          <w:szCs w:val="21"/>
          <w:u w:val="single"/>
        </w:rPr>
        <w:tab/>
      </w:r>
      <w:r>
        <w:rPr>
          <w:szCs w:val="21"/>
          <w:u w:val="single"/>
        </w:rPr>
        <w:tab/>
      </w:r>
      <w:r>
        <w:rPr>
          <w:szCs w:val="21"/>
        </w:rPr>
        <w:t xml:space="preserve"> </w:t>
      </w:r>
    </w:p>
    <w:p w14:paraId="31B34D1E">
      <w:pPr>
        <w:tabs>
          <w:tab w:val="left" w:pos="4150"/>
          <w:tab w:val="left" w:pos="4180"/>
        </w:tabs>
        <w:spacing w:line="360" w:lineRule="auto"/>
        <w:ind w:right="4663"/>
        <w:rPr>
          <w:szCs w:val="21"/>
        </w:rPr>
      </w:pPr>
      <w:r>
        <w:rPr>
          <w:szCs w:val="21"/>
        </w:rPr>
        <w:t>产品功能 ：</w:t>
      </w:r>
      <w:r>
        <w:rPr>
          <w:szCs w:val="21"/>
          <w:u w:val="single"/>
        </w:rPr>
        <w:tab/>
      </w:r>
      <w:r>
        <w:rPr>
          <w:szCs w:val="21"/>
        </w:rPr>
        <w:t xml:space="preserve"> </w:t>
      </w:r>
    </w:p>
    <w:p w14:paraId="46A24A3F">
      <w:pPr>
        <w:tabs>
          <w:tab w:val="left" w:pos="4150"/>
          <w:tab w:val="left" w:pos="4180"/>
        </w:tabs>
        <w:spacing w:line="360" w:lineRule="auto"/>
        <w:ind w:right="4663"/>
        <w:rPr>
          <w:szCs w:val="21"/>
        </w:rPr>
      </w:pPr>
      <w:r>
        <w:rPr>
          <w:szCs w:val="21"/>
        </w:rPr>
        <w:t>产品介绍 ：</w:t>
      </w:r>
      <w:r>
        <w:rPr>
          <w:szCs w:val="21"/>
          <w:u w:val="single"/>
        </w:rPr>
        <w:tab/>
      </w:r>
      <w:r>
        <w:rPr>
          <w:szCs w:val="21"/>
          <w:u w:val="single"/>
        </w:rPr>
        <w:tab/>
      </w:r>
      <w:r>
        <w:rPr>
          <w:szCs w:val="21"/>
        </w:rPr>
        <w:t xml:space="preserve"> </w:t>
      </w:r>
    </w:p>
    <w:p w14:paraId="5B071E43">
      <w:pPr>
        <w:tabs>
          <w:tab w:val="left" w:pos="4150"/>
          <w:tab w:val="left" w:pos="4180"/>
        </w:tabs>
        <w:spacing w:line="360" w:lineRule="auto"/>
        <w:ind w:right="4663"/>
        <w:rPr>
          <w:szCs w:val="21"/>
        </w:rPr>
      </w:pPr>
      <w:r>
        <w:rPr>
          <w:szCs w:val="21"/>
        </w:rPr>
        <w:t>产品图片 ：</w:t>
      </w:r>
      <w:bookmarkStart w:id="52" w:name="OLE_LINK5"/>
      <w:r>
        <w:rPr>
          <w:szCs w:val="21"/>
          <w:u w:val="single"/>
        </w:rPr>
        <w:tab/>
      </w:r>
      <w:r>
        <w:rPr>
          <w:szCs w:val="21"/>
          <w:u w:val="single"/>
        </w:rPr>
        <w:tab/>
      </w:r>
      <w:bookmarkEnd w:id="52"/>
      <w:r>
        <w:rPr>
          <w:szCs w:val="21"/>
          <w:u w:val="single"/>
        </w:rPr>
        <w:t xml:space="preserve"> </w:t>
      </w:r>
    </w:p>
    <w:p w14:paraId="3B20E634">
      <w:pPr>
        <w:spacing w:line="360" w:lineRule="auto"/>
        <w:ind w:left="3"/>
        <w:rPr>
          <w:rFonts w:eastAsia="黑体"/>
          <w:szCs w:val="21"/>
        </w:rPr>
      </w:pPr>
      <w:r>
        <w:rPr>
          <w:rFonts w:eastAsia="黑体"/>
          <w:b/>
          <w:bCs/>
          <w:szCs w:val="21"/>
        </w:rPr>
        <w:t>3.量化方法</w:t>
      </w:r>
    </w:p>
    <w:p w14:paraId="782C2803">
      <w:pPr>
        <w:spacing w:line="360" w:lineRule="auto"/>
        <w:rPr>
          <w:szCs w:val="21"/>
          <w:u w:val="single"/>
        </w:rPr>
      </w:pPr>
      <w:r>
        <w:rPr>
          <w:szCs w:val="21"/>
        </w:rPr>
        <w:t>依据标准 ：</w:t>
      </w:r>
      <w:r>
        <w:rPr>
          <w:szCs w:val="21"/>
          <w:u w:val="single"/>
        </w:rPr>
        <w:tab/>
      </w:r>
      <w:r>
        <w:rPr>
          <w:szCs w:val="21"/>
          <w:u w:val="single"/>
        </w:rPr>
        <w:t xml:space="preserve">                         </w:t>
      </w:r>
      <w:r>
        <w:rPr>
          <w:szCs w:val="21"/>
          <w:u w:val="single"/>
        </w:rPr>
        <w:tab/>
      </w:r>
    </w:p>
    <w:p w14:paraId="392C4A69">
      <w:pPr>
        <w:spacing w:line="360" w:lineRule="auto"/>
        <w:rPr>
          <w:rFonts w:eastAsia="黑体"/>
          <w:szCs w:val="21"/>
        </w:rPr>
      </w:pPr>
      <w:r>
        <w:rPr>
          <w:rFonts w:eastAsia="黑体"/>
          <w:szCs w:val="21"/>
        </w:rPr>
        <w:t>二、量化目的</w:t>
      </w:r>
    </w:p>
    <w:p w14:paraId="732F6420">
      <w:pPr>
        <w:pStyle w:val="13"/>
        <w:spacing w:after="0" w:line="360" w:lineRule="auto"/>
        <w:rPr>
          <w:rFonts w:ascii="Times New Roman" w:hAnsi="Times New Roman" w:eastAsia="等线" w:cs="Times New Roman"/>
          <w:lang w:eastAsia="zh-CN"/>
        </w:rPr>
      </w:pPr>
    </w:p>
    <w:p w14:paraId="1BCF30C9">
      <w:pPr>
        <w:spacing w:line="360" w:lineRule="auto"/>
        <w:ind w:left="3"/>
        <w:rPr>
          <w:rFonts w:eastAsia="黑体"/>
          <w:szCs w:val="21"/>
        </w:rPr>
      </w:pPr>
      <w:r>
        <w:rPr>
          <w:rFonts w:eastAsia="黑体"/>
          <w:b/>
          <w:bCs/>
          <w:szCs w:val="21"/>
        </w:rPr>
        <w:t>三、量化范围</w:t>
      </w:r>
    </w:p>
    <w:p w14:paraId="768F4DBB">
      <w:pPr>
        <w:spacing w:line="360" w:lineRule="auto"/>
        <w:ind w:left="3"/>
        <w:rPr>
          <w:rFonts w:eastAsia="黑体"/>
          <w:szCs w:val="21"/>
        </w:rPr>
      </w:pPr>
      <w:r>
        <w:rPr>
          <w:b/>
          <w:bCs/>
          <w:szCs w:val="21"/>
        </w:rPr>
        <w:t>1.</w:t>
      </w:r>
      <w:r>
        <w:rPr>
          <w:rFonts w:eastAsia="黑体"/>
          <w:b/>
          <w:bCs/>
          <w:szCs w:val="21"/>
        </w:rPr>
        <w:t>功能单位</w:t>
      </w:r>
    </w:p>
    <w:p w14:paraId="72A60068">
      <w:pPr>
        <w:spacing w:line="360" w:lineRule="auto"/>
        <w:ind w:firstLine="420" w:firstLineChars="200"/>
        <w:rPr>
          <w:szCs w:val="21"/>
        </w:rPr>
      </w:pPr>
      <w:r>
        <w:rPr>
          <w:szCs w:val="21"/>
        </w:rPr>
        <w:t>以</w:t>
      </w:r>
      <w:r>
        <w:rPr>
          <w:szCs w:val="21"/>
          <w:u w:val="single"/>
        </w:rPr>
        <w:t xml:space="preserve">                </w:t>
      </w:r>
      <w:r>
        <w:rPr>
          <w:szCs w:val="21"/>
        </w:rPr>
        <w:t xml:space="preserve"> 为功能单位。</w:t>
      </w:r>
    </w:p>
    <w:p w14:paraId="656A9130">
      <w:pPr>
        <w:spacing w:line="360" w:lineRule="auto"/>
        <w:ind w:left="3"/>
        <w:rPr>
          <w:rFonts w:eastAsia="黑体"/>
          <w:szCs w:val="21"/>
        </w:rPr>
      </w:pPr>
      <w:r>
        <w:rPr>
          <w:b/>
          <w:bCs/>
          <w:szCs w:val="21"/>
        </w:rPr>
        <w:t>2.</w:t>
      </w:r>
      <w:r>
        <w:rPr>
          <w:rFonts w:eastAsia="黑体"/>
          <w:b/>
          <w:bCs/>
          <w:szCs w:val="21"/>
        </w:rPr>
        <w:t>系统边界</w:t>
      </w:r>
    </w:p>
    <w:p w14:paraId="4450BE92">
      <w:pPr>
        <w:spacing w:line="360" w:lineRule="auto"/>
        <w:ind w:right="5"/>
        <w:rPr>
          <w:szCs w:val="21"/>
        </w:rPr>
      </w:pPr>
      <w:r>
        <w:rPr>
          <w:szCs w:val="21"/>
        </w:rPr>
        <w:t xml:space="preserve">□原材料获取阶段 □生产阶段 □分销阶段 □使用阶段 □生命末期阶段 </w:t>
      </w:r>
    </w:p>
    <w:p w14:paraId="68ABC299">
      <w:pPr>
        <w:spacing w:line="360" w:lineRule="auto"/>
        <w:ind w:right="5"/>
        <w:rPr>
          <w:szCs w:val="21"/>
        </w:rPr>
      </w:pPr>
      <w:r>
        <w:rPr>
          <w:szCs w:val="21"/>
        </w:rPr>
        <w:t>系统边界见图D.1：</w:t>
      </w:r>
    </w:p>
    <w:p w14:paraId="20556670">
      <w:pPr>
        <w:spacing w:line="360" w:lineRule="auto"/>
        <w:ind w:right="5"/>
        <w:rPr>
          <w:szCs w:val="21"/>
        </w:rPr>
      </w:pPr>
    </w:p>
    <w:p w14:paraId="07479E06">
      <w:pPr>
        <w:spacing w:line="360" w:lineRule="auto"/>
        <w:ind w:right="5"/>
        <w:rPr>
          <w:szCs w:val="21"/>
        </w:rPr>
      </w:pPr>
    </w:p>
    <w:p w14:paraId="6185FCA8">
      <w:pPr>
        <w:spacing w:line="360" w:lineRule="auto"/>
        <w:ind w:right="5"/>
        <w:rPr>
          <w:szCs w:val="21"/>
        </w:rPr>
      </w:pPr>
    </w:p>
    <w:p w14:paraId="6C3AA6E0">
      <w:pPr>
        <w:spacing w:line="360" w:lineRule="auto"/>
        <w:ind w:right="5"/>
        <w:rPr>
          <w:szCs w:val="21"/>
        </w:rPr>
      </w:pPr>
    </w:p>
    <w:p w14:paraId="198ECDEF">
      <w:pPr>
        <w:ind w:right="5"/>
        <w:rPr>
          <w:szCs w:val="21"/>
        </w:rPr>
      </w:pPr>
    </w:p>
    <w:p w14:paraId="1A84E856">
      <w:pPr>
        <w:ind w:right="5"/>
        <w:rPr>
          <w:szCs w:val="21"/>
        </w:rPr>
      </w:pPr>
    </w:p>
    <w:p w14:paraId="167F16A1">
      <w:pPr>
        <w:ind w:right="5"/>
        <w:jc w:val="center"/>
        <w:rPr>
          <w:szCs w:val="21"/>
        </w:rPr>
      </w:pPr>
      <w:r>
        <w:rPr>
          <w:szCs w:val="21"/>
        </w:rPr>
        <w:t>图D.1 XX 产品碳足迹量化系统边界图</w:t>
      </w:r>
    </w:p>
    <w:p w14:paraId="2493D8EF">
      <w:pPr>
        <w:spacing w:line="360" w:lineRule="auto"/>
        <w:ind w:left="18"/>
        <w:rPr>
          <w:rFonts w:eastAsia="黑体"/>
          <w:szCs w:val="21"/>
        </w:rPr>
      </w:pPr>
      <w:r>
        <w:rPr>
          <w:spacing w:val="-10"/>
          <w:szCs w:val="21"/>
        </w:rPr>
        <w:t>3.</w:t>
      </w:r>
      <w:r>
        <w:rPr>
          <w:rFonts w:eastAsia="黑体"/>
          <w:spacing w:val="-10"/>
          <w:szCs w:val="21"/>
        </w:rPr>
        <w:t>取舍准则</w:t>
      </w:r>
    </w:p>
    <w:p w14:paraId="39C53AA4">
      <w:pPr>
        <w:spacing w:line="360" w:lineRule="auto"/>
        <w:ind w:left="424"/>
        <w:rPr>
          <w:szCs w:val="21"/>
        </w:rPr>
      </w:pPr>
      <w:r>
        <w:rPr>
          <w:szCs w:val="21"/>
        </w:rPr>
        <w:t>采用的取舍准则以</w:t>
      </w:r>
      <w:r>
        <w:rPr>
          <w:szCs w:val="21"/>
          <w:u w:val="single"/>
        </w:rPr>
        <w:t xml:space="preserve">                        </w:t>
      </w:r>
      <w:r>
        <w:rPr>
          <w:szCs w:val="21"/>
        </w:rPr>
        <w:t>为依据，具体规则如下：</w:t>
      </w:r>
    </w:p>
    <w:p w14:paraId="5E677048">
      <w:pPr>
        <w:spacing w:line="360" w:lineRule="auto"/>
        <w:ind w:left="17"/>
        <w:rPr>
          <w:rFonts w:eastAsia="黑体"/>
          <w:szCs w:val="21"/>
        </w:rPr>
      </w:pPr>
      <w:r>
        <w:rPr>
          <w:rFonts w:eastAsia="黑体"/>
          <w:spacing w:val="-10"/>
          <w:szCs w:val="21"/>
        </w:rPr>
        <w:t>4.时间范围</w:t>
      </w:r>
    </w:p>
    <w:p w14:paraId="414B57AB">
      <w:pPr>
        <w:tabs>
          <w:tab w:val="left" w:pos="1473"/>
        </w:tabs>
        <w:spacing w:line="360" w:lineRule="auto"/>
        <w:ind w:left="424"/>
        <w:rPr>
          <w:szCs w:val="21"/>
        </w:rPr>
      </w:pPr>
      <w:r>
        <w:rPr>
          <w:szCs w:val="21"/>
          <w:u w:val="single"/>
        </w:rPr>
        <w:tab/>
      </w:r>
      <w:r>
        <w:rPr>
          <w:spacing w:val="-90"/>
          <w:szCs w:val="21"/>
        </w:rPr>
        <w:t xml:space="preserve"> </w:t>
      </w:r>
      <w:r>
        <w:rPr>
          <w:spacing w:val="3"/>
          <w:szCs w:val="21"/>
        </w:rPr>
        <w:t>年度。</w:t>
      </w:r>
    </w:p>
    <w:p w14:paraId="026F08FA">
      <w:pPr>
        <w:spacing w:line="360" w:lineRule="auto"/>
        <w:ind w:left="18"/>
        <w:rPr>
          <w:rFonts w:eastAsia="黑体"/>
          <w:szCs w:val="21"/>
        </w:rPr>
      </w:pPr>
      <w:r>
        <w:rPr>
          <w:rFonts w:eastAsia="黑体"/>
          <w:spacing w:val="-29"/>
          <w:szCs w:val="21"/>
        </w:rPr>
        <w:t>四、清单分析</w:t>
      </w:r>
    </w:p>
    <w:p w14:paraId="78B807BA">
      <w:pPr>
        <w:spacing w:line="360" w:lineRule="auto"/>
        <w:ind w:left="18"/>
        <w:rPr>
          <w:rFonts w:eastAsia="黑体"/>
          <w:szCs w:val="21"/>
        </w:rPr>
      </w:pPr>
      <w:r>
        <w:rPr>
          <w:rFonts w:eastAsia="黑体"/>
          <w:spacing w:val="-10"/>
          <w:szCs w:val="21"/>
        </w:rPr>
        <w:t>1.数据来源说明</w:t>
      </w:r>
    </w:p>
    <w:p w14:paraId="470D7185">
      <w:pPr>
        <w:spacing w:line="360" w:lineRule="auto"/>
        <w:ind w:left="15"/>
        <w:rPr>
          <w:szCs w:val="21"/>
        </w:rPr>
      </w:pPr>
      <w:r>
        <w:rPr>
          <w:szCs w:val="21"/>
        </w:rPr>
        <w:t>初级数据：</w:t>
      </w:r>
      <w:r>
        <w:rPr>
          <w:szCs w:val="21"/>
          <w:u w:val="single"/>
        </w:rPr>
        <w:t xml:space="preserve">                </w:t>
      </w:r>
      <w:r>
        <w:rPr>
          <w:szCs w:val="21"/>
        </w:rPr>
        <w:t xml:space="preserve"> ；</w:t>
      </w:r>
    </w:p>
    <w:p w14:paraId="69C8CAF7">
      <w:pPr>
        <w:spacing w:line="360" w:lineRule="auto"/>
        <w:ind w:left="15"/>
        <w:rPr>
          <w:rFonts w:eastAsia="Times New Roman"/>
          <w:szCs w:val="21"/>
        </w:rPr>
      </w:pPr>
      <w:r>
        <w:rPr>
          <w:szCs w:val="21"/>
        </w:rPr>
        <w:t>次级数据：</w:t>
      </w:r>
      <w:r>
        <w:rPr>
          <w:szCs w:val="21"/>
          <w:u w:val="single"/>
        </w:rPr>
        <w:t xml:space="preserve">                </w:t>
      </w:r>
      <w:r>
        <w:rPr>
          <w:szCs w:val="21"/>
        </w:rPr>
        <w:t xml:space="preserve"> 。</w:t>
      </w:r>
    </w:p>
    <w:p w14:paraId="571F42CA">
      <w:pPr>
        <w:spacing w:line="360" w:lineRule="auto"/>
        <w:ind w:left="18"/>
        <w:rPr>
          <w:rFonts w:eastAsia="黑体"/>
          <w:szCs w:val="21"/>
        </w:rPr>
      </w:pPr>
      <w:r>
        <w:rPr>
          <w:rFonts w:eastAsia="黑体"/>
          <w:spacing w:val="-10"/>
          <w:szCs w:val="21"/>
        </w:rPr>
        <w:t>2.分配原则与程序</w:t>
      </w:r>
    </w:p>
    <w:p w14:paraId="65523026">
      <w:pPr>
        <w:spacing w:line="360" w:lineRule="auto"/>
        <w:ind w:left="15"/>
        <w:rPr>
          <w:szCs w:val="21"/>
        </w:rPr>
      </w:pPr>
      <w:r>
        <w:rPr>
          <w:spacing w:val="-24"/>
          <w:w w:val="98"/>
          <w:szCs w:val="21"/>
        </w:rPr>
        <w:t>分</w:t>
      </w:r>
      <w:r>
        <w:rPr>
          <w:szCs w:val="21"/>
        </w:rPr>
        <w:t>配依据：</w:t>
      </w:r>
      <w:r>
        <w:rPr>
          <w:szCs w:val="21"/>
          <w:u w:val="single"/>
        </w:rPr>
        <w:t xml:space="preserve">                </w:t>
      </w:r>
      <w:r>
        <w:rPr>
          <w:szCs w:val="21"/>
        </w:rPr>
        <w:t xml:space="preserve"> ；</w:t>
      </w:r>
      <w:r>
        <w:rPr>
          <w:szCs w:val="21"/>
          <w:u w:val="single"/>
        </w:rPr>
        <w:t xml:space="preserve">          </w:t>
      </w:r>
    </w:p>
    <w:p w14:paraId="1D0E09CF">
      <w:pPr>
        <w:spacing w:line="360" w:lineRule="auto"/>
        <w:ind w:left="15"/>
        <w:rPr>
          <w:rFonts w:eastAsia="Times New Roman"/>
          <w:szCs w:val="21"/>
        </w:rPr>
      </w:pPr>
      <w:r>
        <w:rPr>
          <w:szCs w:val="21"/>
        </w:rPr>
        <w:t>分配程序：</w:t>
      </w:r>
      <w:r>
        <w:rPr>
          <w:szCs w:val="21"/>
          <w:u w:val="single"/>
        </w:rPr>
        <w:t xml:space="preserve">                </w:t>
      </w:r>
      <w:r>
        <w:rPr>
          <w:szCs w:val="21"/>
        </w:rPr>
        <w:t>。</w:t>
      </w:r>
    </w:p>
    <w:p w14:paraId="3E9B022C">
      <w:pPr>
        <w:spacing w:line="360" w:lineRule="auto"/>
        <w:rPr>
          <w:szCs w:val="21"/>
        </w:rPr>
      </w:pPr>
      <w:r>
        <w:rPr>
          <w:szCs w:val="21"/>
        </w:rPr>
        <w:t>具体分配情况如下：</w:t>
      </w:r>
    </w:p>
    <w:p w14:paraId="0F881A2C">
      <w:pPr>
        <w:spacing w:before="57" w:line="220" w:lineRule="auto"/>
        <w:rPr>
          <w:szCs w:val="21"/>
        </w:rPr>
      </w:pPr>
    </w:p>
    <w:p w14:paraId="68624425">
      <w:pPr>
        <w:spacing w:before="203" w:line="222" w:lineRule="auto"/>
        <w:ind w:left="18"/>
        <w:rPr>
          <w:rFonts w:eastAsia="黑体"/>
          <w:szCs w:val="21"/>
        </w:rPr>
      </w:pPr>
      <w:r>
        <w:rPr>
          <w:spacing w:val="-12"/>
          <w:szCs w:val="21"/>
        </w:rPr>
        <w:t>3.</w:t>
      </w:r>
      <w:r>
        <w:rPr>
          <w:rFonts w:eastAsia="黑体"/>
          <w:spacing w:val="-12"/>
          <w:szCs w:val="21"/>
        </w:rPr>
        <w:t>清单结果及计算</w:t>
      </w:r>
    </w:p>
    <w:p w14:paraId="1CDD2426">
      <w:pPr>
        <w:spacing w:before="210" w:line="219" w:lineRule="auto"/>
        <w:ind w:left="424"/>
        <w:rPr>
          <w:szCs w:val="21"/>
        </w:rPr>
      </w:pPr>
      <w:r>
        <w:rPr>
          <w:spacing w:val="-8"/>
          <w:szCs w:val="21"/>
        </w:rPr>
        <w:t>生命周期各个阶段碳排放计算说明见表D.1。</w:t>
      </w:r>
    </w:p>
    <w:p w14:paraId="6AC07E13">
      <w:pPr>
        <w:spacing w:before="194" w:line="223" w:lineRule="auto"/>
        <w:ind w:left="2638"/>
        <w:rPr>
          <w:rFonts w:eastAsia="黑体"/>
          <w:szCs w:val="21"/>
        </w:rPr>
      </w:pPr>
      <w:r>
        <w:rPr>
          <w:rFonts w:eastAsia="黑体"/>
          <w:spacing w:val="-14"/>
          <w:szCs w:val="21"/>
        </w:rPr>
        <w:t>表 D.1</w:t>
      </w:r>
      <w:r>
        <w:rPr>
          <w:rFonts w:eastAsia="黑体"/>
          <w:spacing w:val="66"/>
          <w:szCs w:val="21"/>
        </w:rPr>
        <w:t xml:space="preserve"> </w:t>
      </w:r>
      <w:r>
        <w:rPr>
          <w:rFonts w:eastAsia="黑体"/>
          <w:spacing w:val="8"/>
          <w:szCs w:val="21"/>
          <w:u w:val="single"/>
        </w:rPr>
        <w:t xml:space="preserve">           </w:t>
      </w:r>
      <w:r>
        <w:rPr>
          <w:rFonts w:eastAsia="黑体"/>
          <w:spacing w:val="-89"/>
          <w:szCs w:val="21"/>
        </w:rPr>
        <w:t xml:space="preserve"> </w:t>
      </w:r>
      <w:r>
        <w:rPr>
          <w:rFonts w:eastAsia="黑体"/>
          <w:spacing w:val="-14"/>
          <w:szCs w:val="21"/>
        </w:rPr>
        <w:t>生命周期碳排放清单说明</w:t>
      </w:r>
    </w:p>
    <w:tbl>
      <w:tblPr>
        <w:tblStyle w:val="39"/>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2"/>
        <w:gridCol w:w="2154"/>
        <w:gridCol w:w="2127"/>
        <w:gridCol w:w="2526"/>
      </w:tblGrid>
      <w:tr w14:paraId="49644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372" w:type="dxa"/>
            <w:vAlign w:val="center"/>
          </w:tcPr>
          <w:p w14:paraId="75B1888C">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生命周期阶段</w:t>
            </w:r>
          </w:p>
        </w:tc>
        <w:tc>
          <w:tcPr>
            <w:tcW w:w="2154" w:type="dxa"/>
            <w:vAlign w:val="center"/>
          </w:tcPr>
          <w:p w14:paraId="36D06769">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活动数据</w:t>
            </w:r>
          </w:p>
        </w:tc>
        <w:tc>
          <w:tcPr>
            <w:tcW w:w="2127" w:type="dxa"/>
            <w:vAlign w:val="center"/>
          </w:tcPr>
          <w:p w14:paraId="741BE70E">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排放因子</w:t>
            </w:r>
          </w:p>
        </w:tc>
        <w:tc>
          <w:tcPr>
            <w:tcW w:w="2526" w:type="dxa"/>
            <w:vAlign w:val="center"/>
          </w:tcPr>
          <w:p w14:paraId="6D7C01F7">
            <w:pPr>
              <w:pStyle w:val="165"/>
              <w:spacing w:after="0"/>
              <w:jc w:val="center"/>
              <w:rPr>
                <w:rFonts w:ascii="Times New Roman" w:hAnsi="Times New Roman" w:cs="Times New Roman"/>
                <w:sz w:val="21"/>
                <w:szCs w:val="21"/>
                <w:lang w:eastAsia="zh-CN"/>
              </w:rPr>
            </w:pPr>
            <w:r>
              <w:rPr>
                <w:rFonts w:ascii="Times New Roman" w:hAnsi="Times New Roman" w:cs="Times New Roman"/>
                <w:spacing w:val="-2"/>
                <w:sz w:val="21"/>
                <w:szCs w:val="21"/>
                <w:lang w:eastAsia="zh-CN"/>
              </w:rPr>
              <w:t>温室气体量</w:t>
            </w:r>
            <w:r>
              <w:rPr>
                <w:rFonts w:ascii="Times New Roman" w:hAnsi="Times New Roman" w:cs="Times New Roman"/>
                <w:spacing w:val="-1"/>
                <w:sz w:val="21"/>
                <w:szCs w:val="21"/>
                <w:lang w:eastAsia="zh-CN"/>
              </w:rPr>
              <w:t>kg/功能单位</w:t>
            </w:r>
          </w:p>
        </w:tc>
      </w:tr>
      <w:tr w14:paraId="71FE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372" w:type="dxa"/>
            <w:vMerge w:val="restart"/>
            <w:tcBorders>
              <w:bottom w:val="nil"/>
            </w:tcBorders>
            <w:vAlign w:val="center"/>
          </w:tcPr>
          <w:p w14:paraId="260DBA71">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原材料获取</w:t>
            </w:r>
          </w:p>
        </w:tc>
        <w:tc>
          <w:tcPr>
            <w:tcW w:w="2154" w:type="dxa"/>
            <w:vAlign w:val="center"/>
          </w:tcPr>
          <w:p w14:paraId="77B64AA1">
            <w:pPr>
              <w:autoSpaceDE w:val="0"/>
              <w:autoSpaceDN w:val="0"/>
              <w:jc w:val="center"/>
              <w:rPr>
                <w:szCs w:val="21"/>
              </w:rPr>
            </w:pPr>
          </w:p>
        </w:tc>
        <w:tc>
          <w:tcPr>
            <w:tcW w:w="2127" w:type="dxa"/>
            <w:vAlign w:val="center"/>
          </w:tcPr>
          <w:p w14:paraId="2759EA91">
            <w:pPr>
              <w:autoSpaceDE w:val="0"/>
              <w:autoSpaceDN w:val="0"/>
              <w:jc w:val="center"/>
              <w:rPr>
                <w:szCs w:val="21"/>
              </w:rPr>
            </w:pPr>
          </w:p>
        </w:tc>
        <w:tc>
          <w:tcPr>
            <w:tcW w:w="2526" w:type="dxa"/>
            <w:vAlign w:val="center"/>
          </w:tcPr>
          <w:p w14:paraId="3F887BB1">
            <w:pPr>
              <w:autoSpaceDE w:val="0"/>
              <w:autoSpaceDN w:val="0"/>
              <w:jc w:val="center"/>
              <w:rPr>
                <w:szCs w:val="21"/>
              </w:rPr>
            </w:pPr>
          </w:p>
        </w:tc>
      </w:tr>
      <w:tr w14:paraId="2156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72" w:type="dxa"/>
            <w:vMerge w:val="continue"/>
            <w:tcBorders>
              <w:top w:val="nil"/>
              <w:bottom w:val="nil"/>
            </w:tcBorders>
            <w:vAlign w:val="center"/>
          </w:tcPr>
          <w:p w14:paraId="393619A8">
            <w:pPr>
              <w:autoSpaceDE w:val="0"/>
              <w:autoSpaceDN w:val="0"/>
              <w:jc w:val="center"/>
              <w:rPr>
                <w:szCs w:val="21"/>
              </w:rPr>
            </w:pPr>
          </w:p>
        </w:tc>
        <w:tc>
          <w:tcPr>
            <w:tcW w:w="2154" w:type="dxa"/>
            <w:vAlign w:val="center"/>
          </w:tcPr>
          <w:p w14:paraId="6B8323A9">
            <w:pPr>
              <w:autoSpaceDE w:val="0"/>
              <w:autoSpaceDN w:val="0"/>
              <w:jc w:val="center"/>
              <w:rPr>
                <w:szCs w:val="21"/>
              </w:rPr>
            </w:pPr>
          </w:p>
        </w:tc>
        <w:tc>
          <w:tcPr>
            <w:tcW w:w="2127" w:type="dxa"/>
            <w:vAlign w:val="center"/>
          </w:tcPr>
          <w:p w14:paraId="20FBFE3C">
            <w:pPr>
              <w:autoSpaceDE w:val="0"/>
              <w:autoSpaceDN w:val="0"/>
              <w:jc w:val="center"/>
              <w:rPr>
                <w:szCs w:val="21"/>
              </w:rPr>
            </w:pPr>
          </w:p>
        </w:tc>
        <w:tc>
          <w:tcPr>
            <w:tcW w:w="2526" w:type="dxa"/>
            <w:vAlign w:val="center"/>
          </w:tcPr>
          <w:p w14:paraId="7E5516BD">
            <w:pPr>
              <w:autoSpaceDE w:val="0"/>
              <w:autoSpaceDN w:val="0"/>
              <w:jc w:val="center"/>
              <w:rPr>
                <w:szCs w:val="21"/>
              </w:rPr>
            </w:pPr>
          </w:p>
        </w:tc>
      </w:tr>
      <w:tr w14:paraId="45B2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72" w:type="dxa"/>
            <w:vMerge w:val="continue"/>
            <w:tcBorders>
              <w:top w:val="nil"/>
            </w:tcBorders>
            <w:vAlign w:val="center"/>
          </w:tcPr>
          <w:p w14:paraId="07D91B11">
            <w:pPr>
              <w:autoSpaceDE w:val="0"/>
              <w:autoSpaceDN w:val="0"/>
              <w:jc w:val="center"/>
              <w:rPr>
                <w:szCs w:val="21"/>
              </w:rPr>
            </w:pPr>
          </w:p>
        </w:tc>
        <w:tc>
          <w:tcPr>
            <w:tcW w:w="2154" w:type="dxa"/>
            <w:vAlign w:val="center"/>
          </w:tcPr>
          <w:p w14:paraId="2EF014DF">
            <w:pPr>
              <w:autoSpaceDE w:val="0"/>
              <w:autoSpaceDN w:val="0"/>
              <w:jc w:val="center"/>
              <w:rPr>
                <w:szCs w:val="21"/>
              </w:rPr>
            </w:pPr>
          </w:p>
        </w:tc>
        <w:tc>
          <w:tcPr>
            <w:tcW w:w="2127" w:type="dxa"/>
            <w:vAlign w:val="center"/>
          </w:tcPr>
          <w:p w14:paraId="4B5D839B">
            <w:pPr>
              <w:autoSpaceDE w:val="0"/>
              <w:autoSpaceDN w:val="0"/>
              <w:jc w:val="center"/>
              <w:rPr>
                <w:szCs w:val="21"/>
              </w:rPr>
            </w:pPr>
          </w:p>
        </w:tc>
        <w:tc>
          <w:tcPr>
            <w:tcW w:w="2526" w:type="dxa"/>
            <w:vAlign w:val="center"/>
          </w:tcPr>
          <w:p w14:paraId="5D8EADEB">
            <w:pPr>
              <w:autoSpaceDE w:val="0"/>
              <w:autoSpaceDN w:val="0"/>
              <w:jc w:val="center"/>
              <w:rPr>
                <w:szCs w:val="21"/>
              </w:rPr>
            </w:pPr>
          </w:p>
        </w:tc>
      </w:tr>
      <w:tr w14:paraId="24D7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72" w:type="dxa"/>
            <w:vMerge w:val="restart"/>
            <w:tcBorders>
              <w:bottom w:val="nil"/>
            </w:tcBorders>
            <w:vAlign w:val="center"/>
          </w:tcPr>
          <w:p w14:paraId="7EBB49A9">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生产</w:t>
            </w:r>
          </w:p>
        </w:tc>
        <w:tc>
          <w:tcPr>
            <w:tcW w:w="2154" w:type="dxa"/>
            <w:vAlign w:val="center"/>
          </w:tcPr>
          <w:p w14:paraId="7205DAD8">
            <w:pPr>
              <w:autoSpaceDE w:val="0"/>
              <w:autoSpaceDN w:val="0"/>
              <w:jc w:val="center"/>
              <w:rPr>
                <w:szCs w:val="21"/>
              </w:rPr>
            </w:pPr>
          </w:p>
        </w:tc>
        <w:tc>
          <w:tcPr>
            <w:tcW w:w="2127" w:type="dxa"/>
            <w:vAlign w:val="center"/>
          </w:tcPr>
          <w:p w14:paraId="65A97372">
            <w:pPr>
              <w:autoSpaceDE w:val="0"/>
              <w:autoSpaceDN w:val="0"/>
              <w:jc w:val="center"/>
              <w:rPr>
                <w:szCs w:val="21"/>
              </w:rPr>
            </w:pPr>
          </w:p>
        </w:tc>
        <w:tc>
          <w:tcPr>
            <w:tcW w:w="2526" w:type="dxa"/>
            <w:vAlign w:val="center"/>
          </w:tcPr>
          <w:p w14:paraId="30BEDAAB">
            <w:pPr>
              <w:autoSpaceDE w:val="0"/>
              <w:autoSpaceDN w:val="0"/>
              <w:jc w:val="center"/>
              <w:rPr>
                <w:szCs w:val="21"/>
              </w:rPr>
            </w:pPr>
          </w:p>
        </w:tc>
      </w:tr>
      <w:tr w14:paraId="0969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72" w:type="dxa"/>
            <w:vMerge w:val="continue"/>
            <w:tcBorders>
              <w:top w:val="nil"/>
              <w:bottom w:val="nil"/>
            </w:tcBorders>
            <w:vAlign w:val="center"/>
          </w:tcPr>
          <w:p w14:paraId="014BA9C7">
            <w:pPr>
              <w:autoSpaceDE w:val="0"/>
              <w:autoSpaceDN w:val="0"/>
              <w:jc w:val="center"/>
              <w:rPr>
                <w:szCs w:val="21"/>
              </w:rPr>
            </w:pPr>
          </w:p>
        </w:tc>
        <w:tc>
          <w:tcPr>
            <w:tcW w:w="2154" w:type="dxa"/>
            <w:vAlign w:val="center"/>
          </w:tcPr>
          <w:p w14:paraId="4EBCD56A">
            <w:pPr>
              <w:autoSpaceDE w:val="0"/>
              <w:autoSpaceDN w:val="0"/>
              <w:jc w:val="center"/>
              <w:rPr>
                <w:szCs w:val="21"/>
              </w:rPr>
            </w:pPr>
          </w:p>
        </w:tc>
        <w:tc>
          <w:tcPr>
            <w:tcW w:w="2127" w:type="dxa"/>
            <w:vAlign w:val="center"/>
          </w:tcPr>
          <w:p w14:paraId="3D541E19">
            <w:pPr>
              <w:autoSpaceDE w:val="0"/>
              <w:autoSpaceDN w:val="0"/>
              <w:jc w:val="center"/>
              <w:rPr>
                <w:szCs w:val="21"/>
              </w:rPr>
            </w:pPr>
          </w:p>
        </w:tc>
        <w:tc>
          <w:tcPr>
            <w:tcW w:w="2526" w:type="dxa"/>
            <w:vAlign w:val="center"/>
          </w:tcPr>
          <w:p w14:paraId="5F137B2C">
            <w:pPr>
              <w:autoSpaceDE w:val="0"/>
              <w:autoSpaceDN w:val="0"/>
              <w:jc w:val="center"/>
              <w:rPr>
                <w:szCs w:val="21"/>
              </w:rPr>
            </w:pPr>
          </w:p>
        </w:tc>
      </w:tr>
      <w:tr w14:paraId="426B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72" w:type="dxa"/>
            <w:vMerge w:val="continue"/>
            <w:tcBorders>
              <w:top w:val="nil"/>
              <w:bottom w:val="nil"/>
            </w:tcBorders>
            <w:vAlign w:val="center"/>
          </w:tcPr>
          <w:p w14:paraId="252AC1A4">
            <w:pPr>
              <w:autoSpaceDE w:val="0"/>
              <w:autoSpaceDN w:val="0"/>
              <w:jc w:val="center"/>
              <w:rPr>
                <w:szCs w:val="21"/>
              </w:rPr>
            </w:pPr>
          </w:p>
        </w:tc>
        <w:tc>
          <w:tcPr>
            <w:tcW w:w="2154" w:type="dxa"/>
            <w:vAlign w:val="center"/>
          </w:tcPr>
          <w:p w14:paraId="74536C11">
            <w:pPr>
              <w:autoSpaceDE w:val="0"/>
              <w:autoSpaceDN w:val="0"/>
              <w:jc w:val="center"/>
              <w:rPr>
                <w:szCs w:val="21"/>
              </w:rPr>
            </w:pPr>
          </w:p>
        </w:tc>
        <w:tc>
          <w:tcPr>
            <w:tcW w:w="2127" w:type="dxa"/>
            <w:vAlign w:val="center"/>
          </w:tcPr>
          <w:p w14:paraId="3F65D0EC">
            <w:pPr>
              <w:autoSpaceDE w:val="0"/>
              <w:autoSpaceDN w:val="0"/>
              <w:jc w:val="center"/>
              <w:rPr>
                <w:szCs w:val="21"/>
              </w:rPr>
            </w:pPr>
          </w:p>
        </w:tc>
        <w:tc>
          <w:tcPr>
            <w:tcW w:w="2526" w:type="dxa"/>
            <w:vAlign w:val="center"/>
          </w:tcPr>
          <w:p w14:paraId="400CB43E">
            <w:pPr>
              <w:autoSpaceDE w:val="0"/>
              <w:autoSpaceDN w:val="0"/>
              <w:jc w:val="center"/>
              <w:rPr>
                <w:szCs w:val="21"/>
              </w:rPr>
            </w:pPr>
          </w:p>
        </w:tc>
      </w:tr>
      <w:tr w14:paraId="17AF4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72" w:type="dxa"/>
            <w:vMerge w:val="continue"/>
            <w:tcBorders>
              <w:top w:val="nil"/>
            </w:tcBorders>
            <w:vAlign w:val="center"/>
          </w:tcPr>
          <w:p w14:paraId="31EB0E80">
            <w:pPr>
              <w:autoSpaceDE w:val="0"/>
              <w:autoSpaceDN w:val="0"/>
              <w:jc w:val="center"/>
              <w:rPr>
                <w:szCs w:val="21"/>
              </w:rPr>
            </w:pPr>
          </w:p>
        </w:tc>
        <w:tc>
          <w:tcPr>
            <w:tcW w:w="2154" w:type="dxa"/>
            <w:vAlign w:val="center"/>
          </w:tcPr>
          <w:p w14:paraId="21982529">
            <w:pPr>
              <w:autoSpaceDE w:val="0"/>
              <w:autoSpaceDN w:val="0"/>
              <w:jc w:val="center"/>
              <w:rPr>
                <w:szCs w:val="21"/>
              </w:rPr>
            </w:pPr>
          </w:p>
        </w:tc>
        <w:tc>
          <w:tcPr>
            <w:tcW w:w="2127" w:type="dxa"/>
            <w:vAlign w:val="center"/>
          </w:tcPr>
          <w:p w14:paraId="64D65582">
            <w:pPr>
              <w:autoSpaceDE w:val="0"/>
              <w:autoSpaceDN w:val="0"/>
              <w:jc w:val="center"/>
              <w:rPr>
                <w:szCs w:val="21"/>
              </w:rPr>
            </w:pPr>
          </w:p>
        </w:tc>
        <w:tc>
          <w:tcPr>
            <w:tcW w:w="2526" w:type="dxa"/>
            <w:vAlign w:val="center"/>
          </w:tcPr>
          <w:p w14:paraId="0D9B3E3C">
            <w:pPr>
              <w:autoSpaceDE w:val="0"/>
              <w:autoSpaceDN w:val="0"/>
              <w:jc w:val="center"/>
              <w:rPr>
                <w:szCs w:val="21"/>
              </w:rPr>
            </w:pPr>
          </w:p>
        </w:tc>
      </w:tr>
      <w:tr w14:paraId="14877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72" w:type="dxa"/>
            <w:tcBorders>
              <w:bottom w:val="nil"/>
            </w:tcBorders>
            <w:vAlign w:val="center"/>
          </w:tcPr>
          <w:p w14:paraId="1FF3B809">
            <w:pPr>
              <w:pStyle w:val="165"/>
              <w:spacing w:after="0"/>
              <w:jc w:val="center"/>
              <w:rPr>
                <w:rFonts w:ascii="Times New Roman" w:hAnsi="Times New Roman" w:cs="Times New Roman"/>
                <w:sz w:val="21"/>
                <w:szCs w:val="21"/>
                <w:lang w:eastAsia="zh-CN"/>
              </w:rPr>
            </w:pPr>
            <w:r>
              <w:rPr>
                <w:rFonts w:ascii="Times New Roman" w:hAnsi="Times New Roman" w:cs="Times New Roman"/>
                <w:spacing w:val="-2"/>
                <w:sz w:val="21"/>
                <w:szCs w:val="21"/>
                <w:lang w:eastAsia="zh-CN"/>
              </w:rPr>
              <w:t>分销</w:t>
            </w:r>
          </w:p>
        </w:tc>
        <w:tc>
          <w:tcPr>
            <w:tcW w:w="2154" w:type="dxa"/>
            <w:vAlign w:val="center"/>
          </w:tcPr>
          <w:p w14:paraId="63E7FCCC">
            <w:pPr>
              <w:autoSpaceDE w:val="0"/>
              <w:autoSpaceDN w:val="0"/>
              <w:jc w:val="center"/>
              <w:rPr>
                <w:szCs w:val="21"/>
              </w:rPr>
            </w:pPr>
          </w:p>
        </w:tc>
        <w:tc>
          <w:tcPr>
            <w:tcW w:w="2127" w:type="dxa"/>
            <w:vAlign w:val="center"/>
          </w:tcPr>
          <w:p w14:paraId="55D9FB8B">
            <w:pPr>
              <w:autoSpaceDE w:val="0"/>
              <w:autoSpaceDN w:val="0"/>
              <w:jc w:val="center"/>
              <w:rPr>
                <w:szCs w:val="21"/>
              </w:rPr>
            </w:pPr>
          </w:p>
        </w:tc>
        <w:tc>
          <w:tcPr>
            <w:tcW w:w="2526" w:type="dxa"/>
            <w:vAlign w:val="center"/>
          </w:tcPr>
          <w:p w14:paraId="2693F0BE">
            <w:pPr>
              <w:autoSpaceDE w:val="0"/>
              <w:autoSpaceDN w:val="0"/>
              <w:jc w:val="center"/>
              <w:rPr>
                <w:szCs w:val="21"/>
              </w:rPr>
            </w:pPr>
          </w:p>
        </w:tc>
      </w:tr>
      <w:tr w14:paraId="551AE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72" w:type="dxa"/>
            <w:vAlign w:val="center"/>
          </w:tcPr>
          <w:p w14:paraId="76AC0525">
            <w:pPr>
              <w:pStyle w:val="165"/>
              <w:spacing w:after="0"/>
              <w:jc w:val="center"/>
              <w:rPr>
                <w:rFonts w:ascii="Times New Roman" w:hAnsi="Times New Roman" w:cs="Times New Roman"/>
                <w:sz w:val="21"/>
                <w:szCs w:val="21"/>
              </w:rPr>
            </w:pPr>
            <w:r>
              <w:rPr>
                <w:rFonts w:ascii="Times New Roman" w:hAnsi="Times New Roman" w:cs="Times New Roman"/>
                <w:spacing w:val="10"/>
                <w:sz w:val="21"/>
                <w:szCs w:val="21"/>
              </w:rPr>
              <w:t>使用</w:t>
            </w:r>
          </w:p>
        </w:tc>
        <w:tc>
          <w:tcPr>
            <w:tcW w:w="2154" w:type="dxa"/>
            <w:vAlign w:val="center"/>
          </w:tcPr>
          <w:p w14:paraId="404E56CD">
            <w:pPr>
              <w:autoSpaceDE w:val="0"/>
              <w:autoSpaceDN w:val="0"/>
              <w:jc w:val="center"/>
              <w:rPr>
                <w:szCs w:val="21"/>
              </w:rPr>
            </w:pPr>
          </w:p>
        </w:tc>
        <w:tc>
          <w:tcPr>
            <w:tcW w:w="2127" w:type="dxa"/>
            <w:vAlign w:val="center"/>
          </w:tcPr>
          <w:p w14:paraId="1864C1C7">
            <w:pPr>
              <w:autoSpaceDE w:val="0"/>
              <w:autoSpaceDN w:val="0"/>
              <w:jc w:val="center"/>
              <w:rPr>
                <w:szCs w:val="21"/>
              </w:rPr>
            </w:pPr>
          </w:p>
        </w:tc>
        <w:tc>
          <w:tcPr>
            <w:tcW w:w="2526" w:type="dxa"/>
            <w:vAlign w:val="center"/>
          </w:tcPr>
          <w:p w14:paraId="6C6AB7D2">
            <w:pPr>
              <w:autoSpaceDE w:val="0"/>
              <w:autoSpaceDN w:val="0"/>
              <w:jc w:val="center"/>
              <w:rPr>
                <w:szCs w:val="21"/>
              </w:rPr>
            </w:pPr>
          </w:p>
        </w:tc>
      </w:tr>
      <w:tr w14:paraId="133D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72" w:type="dxa"/>
            <w:vMerge w:val="restart"/>
            <w:tcBorders>
              <w:bottom w:val="nil"/>
            </w:tcBorders>
            <w:vAlign w:val="center"/>
          </w:tcPr>
          <w:p w14:paraId="04FF05E8">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生命末期</w:t>
            </w:r>
          </w:p>
        </w:tc>
        <w:tc>
          <w:tcPr>
            <w:tcW w:w="2154" w:type="dxa"/>
            <w:vAlign w:val="center"/>
          </w:tcPr>
          <w:p w14:paraId="46923A4C">
            <w:pPr>
              <w:autoSpaceDE w:val="0"/>
              <w:autoSpaceDN w:val="0"/>
              <w:jc w:val="center"/>
              <w:rPr>
                <w:szCs w:val="21"/>
              </w:rPr>
            </w:pPr>
          </w:p>
        </w:tc>
        <w:tc>
          <w:tcPr>
            <w:tcW w:w="2127" w:type="dxa"/>
            <w:vAlign w:val="center"/>
          </w:tcPr>
          <w:p w14:paraId="72D3451B">
            <w:pPr>
              <w:autoSpaceDE w:val="0"/>
              <w:autoSpaceDN w:val="0"/>
              <w:jc w:val="center"/>
              <w:rPr>
                <w:szCs w:val="21"/>
              </w:rPr>
            </w:pPr>
          </w:p>
        </w:tc>
        <w:tc>
          <w:tcPr>
            <w:tcW w:w="2526" w:type="dxa"/>
            <w:vAlign w:val="center"/>
          </w:tcPr>
          <w:p w14:paraId="2E0F124C">
            <w:pPr>
              <w:autoSpaceDE w:val="0"/>
              <w:autoSpaceDN w:val="0"/>
              <w:jc w:val="center"/>
              <w:rPr>
                <w:szCs w:val="21"/>
              </w:rPr>
            </w:pPr>
          </w:p>
        </w:tc>
      </w:tr>
      <w:tr w14:paraId="28D6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372" w:type="dxa"/>
            <w:vMerge w:val="continue"/>
            <w:tcBorders>
              <w:top w:val="nil"/>
            </w:tcBorders>
            <w:vAlign w:val="center"/>
          </w:tcPr>
          <w:p w14:paraId="430564DD">
            <w:pPr>
              <w:autoSpaceDE w:val="0"/>
              <w:autoSpaceDN w:val="0"/>
              <w:jc w:val="center"/>
              <w:rPr>
                <w:szCs w:val="21"/>
              </w:rPr>
            </w:pPr>
          </w:p>
        </w:tc>
        <w:tc>
          <w:tcPr>
            <w:tcW w:w="2154" w:type="dxa"/>
            <w:vAlign w:val="center"/>
          </w:tcPr>
          <w:p w14:paraId="40FB57AA">
            <w:pPr>
              <w:autoSpaceDE w:val="0"/>
              <w:autoSpaceDN w:val="0"/>
              <w:jc w:val="center"/>
              <w:rPr>
                <w:szCs w:val="21"/>
              </w:rPr>
            </w:pPr>
          </w:p>
        </w:tc>
        <w:tc>
          <w:tcPr>
            <w:tcW w:w="2127" w:type="dxa"/>
            <w:vAlign w:val="center"/>
          </w:tcPr>
          <w:p w14:paraId="055EE562">
            <w:pPr>
              <w:autoSpaceDE w:val="0"/>
              <w:autoSpaceDN w:val="0"/>
              <w:jc w:val="center"/>
              <w:rPr>
                <w:szCs w:val="21"/>
              </w:rPr>
            </w:pPr>
          </w:p>
        </w:tc>
        <w:tc>
          <w:tcPr>
            <w:tcW w:w="2526" w:type="dxa"/>
            <w:vAlign w:val="center"/>
          </w:tcPr>
          <w:p w14:paraId="2492A52A">
            <w:pPr>
              <w:autoSpaceDE w:val="0"/>
              <w:autoSpaceDN w:val="0"/>
              <w:jc w:val="center"/>
              <w:rPr>
                <w:szCs w:val="21"/>
              </w:rPr>
            </w:pPr>
          </w:p>
        </w:tc>
      </w:tr>
    </w:tbl>
    <w:p w14:paraId="59DFE3A6">
      <w:pPr>
        <w:pStyle w:val="28"/>
        <w:tabs>
          <w:tab w:val="clear" w:pos="4201"/>
          <w:tab w:val="clear" w:pos="9298"/>
        </w:tabs>
        <w:spacing w:line="360" w:lineRule="auto"/>
        <w:ind w:firstLine="0" w:firstLineChars="0"/>
        <w:jc w:val="left"/>
        <w:rPr>
          <w:rFonts w:ascii="Times New Roman" w:eastAsia="黑体"/>
          <w:szCs w:val="21"/>
        </w:rPr>
      </w:pPr>
    </w:p>
    <w:p w14:paraId="7D2D2E38">
      <w:pPr>
        <w:spacing w:line="360" w:lineRule="auto"/>
        <w:ind w:left="18"/>
        <w:rPr>
          <w:rFonts w:eastAsia="黑体"/>
          <w:szCs w:val="21"/>
        </w:rPr>
      </w:pPr>
      <w:r>
        <w:rPr>
          <w:spacing w:val="-9"/>
          <w:szCs w:val="21"/>
        </w:rPr>
        <w:t>4.</w:t>
      </w:r>
      <w:r>
        <w:rPr>
          <w:rFonts w:eastAsia="黑体"/>
          <w:spacing w:val="-9"/>
          <w:szCs w:val="21"/>
        </w:rPr>
        <w:t>数据质量评价(可选项)</w:t>
      </w:r>
    </w:p>
    <w:p w14:paraId="49530F28">
      <w:pPr>
        <w:spacing w:line="360" w:lineRule="auto"/>
        <w:ind w:left="17" w:right="40" w:firstLine="408"/>
        <w:rPr>
          <w:szCs w:val="21"/>
        </w:rPr>
      </w:pPr>
      <w:r>
        <w:rPr>
          <w:szCs w:val="21"/>
        </w:rPr>
        <w:t>数据质量可从定性和定量两个方面对报告使用的初级数据和次级数据进行评价，具体评价内容包括数据来源、完整性、数据代表性(时间、地理、技术)和准确性。</w:t>
      </w:r>
    </w:p>
    <w:p w14:paraId="4C90218C">
      <w:pPr>
        <w:spacing w:line="360" w:lineRule="auto"/>
        <w:ind w:left="17" w:right="40" w:firstLine="408"/>
        <w:rPr>
          <w:szCs w:val="21"/>
        </w:rPr>
      </w:pPr>
    </w:p>
    <w:p w14:paraId="12795244">
      <w:pPr>
        <w:spacing w:before="68" w:line="222" w:lineRule="auto"/>
        <w:ind w:left="3"/>
        <w:rPr>
          <w:rFonts w:eastAsia="黑体"/>
          <w:szCs w:val="21"/>
        </w:rPr>
      </w:pPr>
      <w:r>
        <w:rPr>
          <w:rFonts w:eastAsia="黑体"/>
          <w:spacing w:val="-18"/>
          <w:szCs w:val="21"/>
        </w:rPr>
        <w:t>五、影响评价</w:t>
      </w:r>
    </w:p>
    <w:p w14:paraId="5355C149">
      <w:pPr>
        <w:spacing w:before="207" w:line="221" w:lineRule="auto"/>
        <w:ind w:left="3"/>
        <w:rPr>
          <w:rFonts w:eastAsia="黑体"/>
          <w:szCs w:val="21"/>
        </w:rPr>
      </w:pPr>
      <w:r>
        <w:rPr>
          <w:rFonts w:eastAsia="黑体"/>
          <w:spacing w:val="-4"/>
          <w:szCs w:val="21"/>
        </w:rPr>
        <w:t>1.影响类型和特征化因子选择</w:t>
      </w:r>
    </w:p>
    <w:p w14:paraId="1BE4EB68">
      <w:pPr>
        <w:spacing w:before="243" w:line="219" w:lineRule="auto"/>
        <w:ind w:left="430"/>
        <w:rPr>
          <w:szCs w:val="21"/>
        </w:rPr>
      </w:pPr>
      <w:r>
        <w:rPr>
          <w:spacing w:val="15"/>
          <w:szCs w:val="21"/>
        </w:rPr>
        <w:t>一般选择</w:t>
      </w:r>
      <w:r>
        <w:rPr>
          <w:rFonts w:eastAsia="Times New Roman"/>
          <w:szCs w:val="21"/>
        </w:rPr>
        <w:t>IPCC</w:t>
      </w:r>
      <w:r>
        <w:rPr>
          <w:rFonts w:eastAsia="Times New Roman"/>
          <w:spacing w:val="27"/>
          <w:szCs w:val="21"/>
        </w:rPr>
        <w:t xml:space="preserve"> </w:t>
      </w:r>
      <w:r>
        <w:rPr>
          <w:spacing w:val="15"/>
          <w:szCs w:val="21"/>
        </w:rPr>
        <w:t>给出的100年</w:t>
      </w:r>
      <w:r>
        <w:rPr>
          <w:rFonts w:eastAsia="Times New Roman"/>
          <w:szCs w:val="21"/>
        </w:rPr>
        <w:t>GWP</w:t>
      </w:r>
      <w:r>
        <w:rPr>
          <w:spacing w:val="15"/>
          <w:szCs w:val="21"/>
        </w:rPr>
        <w:t>。</w:t>
      </w:r>
    </w:p>
    <w:p w14:paraId="3827BF1C">
      <w:pPr>
        <w:spacing w:before="215" w:line="221" w:lineRule="auto"/>
        <w:ind w:left="3"/>
        <w:rPr>
          <w:rFonts w:eastAsia="黑体"/>
          <w:spacing w:val="-3"/>
          <w:szCs w:val="21"/>
        </w:rPr>
      </w:pPr>
      <w:r>
        <w:rPr>
          <w:rFonts w:eastAsia="黑体"/>
          <w:spacing w:val="-3"/>
          <w:szCs w:val="21"/>
        </w:rPr>
        <w:t>2.产品碳足迹结果计算</w:t>
      </w:r>
    </w:p>
    <w:p w14:paraId="770E94EB">
      <w:pPr>
        <w:spacing w:before="215" w:line="221" w:lineRule="auto"/>
        <w:ind w:left="3"/>
        <w:rPr>
          <w:rFonts w:eastAsia="黑体"/>
          <w:szCs w:val="21"/>
        </w:rPr>
      </w:pPr>
    </w:p>
    <w:p w14:paraId="67DB7634">
      <w:pPr>
        <w:spacing w:before="211" w:line="360" w:lineRule="auto"/>
        <w:ind w:left="3" w:right="8160"/>
        <w:rPr>
          <w:rFonts w:eastAsia="黑体"/>
          <w:szCs w:val="21"/>
        </w:rPr>
      </w:pPr>
      <w:r>
        <w:rPr>
          <w:rFonts w:eastAsia="黑体"/>
          <w:spacing w:val="-23"/>
          <w:szCs w:val="21"/>
        </w:rPr>
        <w:t>六</w:t>
      </w:r>
      <w:r>
        <w:rPr>
          <w:rFonts w:eastAsia="黑体"/>
          <w:spacing w:val="-49"/>
          <w:szCs w:val="21"/>
        </w:rPr>
        <w:t xml:space="preserve"> </w:t>
      </w:r>
      <w:r>
        <w:rPr>
          <w:rFonts w:eastAsia="黑体"/>
          <w:spacing w:val="-23"/>
          <w:szCs w:val="21"/>
        </w:rPr>
        <w:t>、结果解释</w:t>
      </w:r>
      <w:r>
        <w:rPr>
          <w:rFonts w:eastAsia="黑体"/>
          <w:szCs w:val="21"/>
        </w:rPr>
        <w:t xml:space="preserve"> </w:t>
      </w:r>
      <w:r>
        <w:rPr>
          <w:rFonts w:eastAsia="黑体"/>
          <w:spacing w:val="-6"/>
          <w:szCs w:val="21"/>
        </w:rPr>
        <w:t>1.结果说明</w:t>
      </w:r>
    </w:p>
    <w:p w14:paraId="69528B58">
      <w:pPr>
        <w:tabs>
          <w:tab w:val="left" w:pos="1120"/>
        </w:tabs>
        <w:spacing w:before="31" w:line="360" w:lineRule="auto"/>
        <w:ind w:firstLine="420" w:firstLineChars="200"/>
        <w:rPr>
          <w:szCs w:val="21"/>
        </w:rPr>
      </w:pPr>
      <w:r>
        <w:rPr>
          <w:szCs w:val="21"/>
          <w:u w:val="single"/>
        </w:rPr>
        <w:tab/>
      </w:r>
      <w:r>
        <w:rPr>
          <w:szCs w:val="21"/>
        </w:rPr>
        <w:t xml:space="preserve"> 公司(填写产品生产者的全名)生产的</w:t>
      </w:r>
      <w:r>
        <w:rPr>
          <w:szCs w:val="21"/>
          <w:u w:val="single"/>
        </w:rPr>
        <w:t xml:space="preserve">        </w:t>
      </w:r>
      <w:r>
        <w:rPr>
          <w:szCs w:val="21"/>
        </w:rPr>
        <w:t xml:space="preserve"> (填写所评价的产品名称，每功能单位的 产品),从</w:t>
      </w:r>
      <w:r>
        <w:rPr>
          <w:szCs w:val="21"/>
          <w:u w:val="single"/>
        </w:rPr>
        <w:t xml:space="preserve">        </w:t>
      </w:r>
      <w:r>
        <w:rPr>
          <w:szCs w:val="21"/>
        </w:rPr>
        <w:t>(填写某生命周期阶段)到</w:t>
      </w:r>
      <w:r>
        <w:rPr>
          <w:szCs w:val="21"/>
          <w:u w:val="single"/>
        </w:rPr>
        <w:t xml:space="preserve">        </w:t>
      </w:r>
      <w:r>
        <w:rPr>
          <w:szCs w:val="21"/>
        </w:rPr>
        <w:t xml:space="preserve"> (填写某生命周期阶段)生命周期碳足迹为 </w:t>
      </w:r>
      <w:r>
        <w:rPr>
          <w:szCs w:val="21"/>
          <w:u w:val="single"/>
        </w:rPr>
        <w:t xml:space="preserve">      </w:t>
      </w:r>
      <w:r>
        <w:rPr>
          <w:szCs w:val="21"/>
        </w:rPr>
        <w:t xml:space="preserve"> </w:t>
      </w:r>
      <w:r>
        <w:rPr>
          <w:rFonts w:eastAsia="Times New Roman"/>
          <w:szCs w:val="21"/>
        </w:rPr>
        <w:t xml:space="preserve">kgCO₂e </w:t>
      </w:r>
      <w:r>
        <w:rPr>
          <w:szCs w:val="21"/>
        </w:rPr>
        <w:t>。各生命周期阶段的温室气体排放情况如表D.2和图D.2所示。</w:t>
      </w:r>
    </w:p>
    <w:p w14:paraId="1EB8A2BC">
      <w:pPr>
        <w:spacing w:before="185" w:line="221" w:lineRule="auto"/>
        <w:ind w:left="2543"/>
        <w:rPr>
          <w:rFonts w:eastAsia="黑体"/>
          <w:szCs w:val="21"/>
        </w:rPr>
      </w:pPr>
      <w:r>
        <w:rPr>
          <w:rFonts w:eastAsia="黑体"/>
          <w:spacing w:val="11"/>
          <w:szCs w:val="21"/>
        </w:rPr>
        <w:t>表D.2</w:t>
      </w:r>
      <w:r>
        <w:rPr>
          <w:rFonts w:eastAsia="黑体"/>
          <w:spacing w:val="95"/>
          <w:szCs w:val="21"/>
        </w:rPr>
        <w:t xml:space="preserve"> </w:t>
      </w:r>
      <w:r>
        <w:rPr>
          <w:rFonts w:eastAsia="黑体"/>
          <w:spacing w:val="1"/>
          <w:szCs w:val="21"/>
          <w:u w:val="single"/>
        </w:rPr>
        <w:t xml:space="preserve">          </w:t>
      </w:r>
      <w:r>
        <w:rPr>
          <w:rFonts w:eastAsia="黑体"/>
          <w:spacing w:val="-102"/>
          <w:szCs w:val="21"/>
        </w:rPr>
        <w:t xml:space="preserve"> </w:t>
      </w:r>
      <w:r>
        <w:rPr>
          <w:rFonts w:eastAsia="黑体"/>
          <w:spacing w:val="11"/>
          <w:szCs w:val="21"/>
        </w:rPr>
        <w:t>生命周期各阶段碳排放情况</w:t>
      </w:r>
    </w:p>
    <w:p w14:paraId="2C47D220">
      <w:pPr>
        <w:spacing w:line="216" w:lineRule="exact"/>
        <w:rPr>
          <w:szCs w:val="21"/>
        </w:rPr>
      </w:pPr>
    </w:p>
    <w:tbl>
      <w:tblPr>
        <w:tblStyle w:val="39"/>
        <w:tblW w:w="8797"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0"/>
        <w:gridCol w:w="3188"/>
        <w:gridCol w:w="2599"/>
      </w:tblGrid>
      <w:tr w14:paraId="3893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5A54E892">
            <w:pPr>
              <w:pStyle w:val="165"/>
              <w:spacing w:after="0"/>
              <w:ind w:left="1054"/>
              <w:rPr>
                <w:rFonts w:ascii="Times New Roman" w:hAnsi="Times New Roman" w:cs="Times New Roman"/>
                <w:spacing w:val="-2"/>
                <w:sz w:val="21"/>
                <w:szCs w:val="21"/>
                <w:lang w:eastAsia="zh-CN"/>
              </w:rPr>
            </w:pPr>
            <w:r>
              <w:rPr>
                <w:rFonts w:ascii="Times New Roman" w:hAnsi="Times New Roman" w:cs="Times New Roman"/>
                <w:spacing w:val="-2"/>
                <w:sz w:val="21"/>
                <w:szCs w:val="21"/>
              </w:rPr>
              <w:t>生命周期阶段</w:t>
            </w:r>
          </w:p>
        </w:tc>
        <w:tc>
          <w:tcPr>
            <w:tcW w:w="3188" w:type="dxa"/>
          </w:tcPr>
          <w:p w14:paraId="066B05CE">
            <w:pPr>
              <w:pStyle w:val="165"/>
              <w:spacing w:after="0"/>
              <w:jc w:val="center"/>
              <w:rPr>
                <w:rFonts w:ascii="Times New Roman" w:hAnsi="Times New Roman" w:cs="Times New Roman"/>
                <w:sz w:val="21"/>
                <w:szCs w:val="21"/>
                <w:lang w:eastAsia="zh-CN"/>
              </w:rPr>
            </w:pPr>
            <w:r>
              <w:rPr>
                <w:rFonts w:ascii="Times New Roman" w:hAnsi="Times New Roman" w:cs="Times New Roman"/>
                <w:spacing w:val="8"/>
                <w:sz w:val="21"/>
                <w:szCs w:val="21"/>
                <w:lang w:eastAsia="zh-CN"/>
              </w:rPr>
              <w:t>碳足迹（</w:t>
            </w:r>
            <w:r>
              <w:rPr>
                <w:rFonts w:ascii="Times New Roman" w:hAnsi="Times New Roman" w:cs="Times New Roman"/>
                <w:sz w:val="21"/>
                <w:szCs w:val="21"/>
                <w:lang w:eastAsia="zh-CN"/>
              </w:rPr>
              <w:t>kgCO</w:t>
            </w:r>
            <w:r>
              <w:rPr>
                <w:rFonts w:ascii="Times New Roman" w:hAnsi="Times New Roman" w:eastAsia="Calibri" w:cs="Times New Roman"/>
                <w:spacing w:val="8"/>
                <w:sz w:val="21"/>
                <w:szCs w:val="21"/>
                <w:lang w:eastAsia="zh-CN"/>
              </w:rPr>
              <w:t>₂</w:t>
            </w:r>
            <w:r>
              <w:rPr>
                <w:rFonts w:ascii="Times New Roman" w:hAnsi="Times New Roman" w:cs="Times New Roman"/>
                <w:spacing w:val="8"/>
                <w:sz w:val="21"/>
                <w:szCs w:val="21"/>
                <w:lang w:eastAsia="zh-CN"/>
              </w:rPr>
              <w:t>e/功能单位）</w:t>
            </w:r>
          </w:p>
        </w:tc>
        <w:tc>
          <w:tcPr>
            <w:tcW w:w="2599" w:type="dxa"/>
          </w:tcPr>
          <w:p w14:paraId="52CA5E5E">
            <w:pPr>
              <w:pStyle w:val="165"/>
              <w:spacing w:after="0"/>
              <w:jc w:val="center"/>
              <w:rPr>
                <w:rFonts w:ascii="Times New Roman" w:hAnsi="Times New Roman" w:cs="Times New Roman"/>
                <w:sz w:val="21"/>
                <w:szCs w:val="21"/>
              </w:rPr>
            </w:pPr>
            <w:r>
              <w:rPr>
                <w:rFonts w:ascii="Times New Roman" w:hAnsi="Times New Roman" w:cs="Times New Roman"/>
                <w:spacing w:val="-3"/>
                <w:sz w:val="21"/>
                <w:szCs w:val="21"/>
              </w:rPr>
              <w:t>百分比</w:t>
            </w:r>
            <w:r>
              <w:rPr>
                <w:rFonts w:ascii="Times New Roman" w:hAnsi="Times New Roman" w:cs="Times New Roman"/>
                <w:spacing w:val="-3"/>
                <w:sz w:val="21"/>
                <w:szCs w:val="21"/>
                <w:lang w:eastAsia="zh-CN"/>
              </w:rPr>
              <w:t>（</w:t>
            </w:r>
            <w:r>
              <w:rPr>
                <w:rFonts w:ascii="Times New Roman" w:hAnsi="Times New Roman" w:cs="Times New Roman"/>
                <w:spacing w:val="-3"/>
                <w:sz w:val="21"/>
                <w:szCs w:val="21"/>
              </w:rPr>
              <w:t>%</w:t>
            </w:r>
            <w:r>
              <w:rPr>
                <w:rFonts w:ascii="Times New Roman" w:hAnsi="Times New Roman" w:cs="Times New Roman"/>
                <w:spacing w:val="-3"/>
                <w:sz w:val="21"/>
                <w:szCs w:val="21"/>
                <w:lang w:eastAsia="zh-CN"/>
              </w:rPr>
              <w:t>）</w:t>
            </w:r>
          </w:p>
        </w:tc>
      </w:tr>
      <w:tr w14:paraId="49B1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7C9749E6">
            <w:pPr>
              <w:pStyle w:val="165"/>
              <w:spacing w:after="0"/>
              <w:ind w:left="1135"/>
              <w:rPr>
                <w:rFonts w:ascii="Times New Roman" w:hAnsi="Times New Roman" w:cs="Times New Roman"/>
                <w:sz w:val="21"/>
                <w:szCs w:val="21"/>
              </w:rPr>
            </w:pPr>
            <w:r>
              <w:rPr>
                <w:rFonts w:ascii="Times New Roman" w:hAnsi="Times New Roman" w:cs="Times New Roman"/>
                <w:spacing w:val="-2"/>
                <w:sz w:val="21"/>
                <w:szCs w:val="21"/>
              </w:rPr>
              <w:t>原材料获取</w:t>
            </w:r>
          </w:p>
        </w:tc>
        <w:tc>
          <w:tcPr>
            <w:tcW w:w="3188" w:type="dxa"/>
            <w:vAlign w:val="center"/>
          </w:tcPr>
          <w:p w14:paraId="52FAFEC7">
            <w:pPr>
              <w:autoSpaceDE w:val="0"/>
              <w:autoSpaceDN w:val="0"/>
              <w:snapToGrid w:val="0"/>
              <w:jc w:val="center"/>
              <w:rPr>
                <w:szCs w:val="21"/>
              </w:rPr>
            </w:pPr>
          </w:p>
        </w:tc>
        <w:tc>
          <w:tcPr>
            <w:tcW w:w="2599" w:type="dxa"/>
            <w:vAlign w:val="center"/>
          </w:tcPr>
          <w:p w14:paraId="020D0CD0">
            <w:pPr>
              <w:autoSpaceDE w:val="0"/>
              <w:autoSpaceDN w:val="0"/>
              <w:snapToGrid w:val="0"/>
              <w:jc w:val="center"/>
              <w:rPr>
                <w:szCs w:val="21"/>
              </w:rPr>
            </w:pPr>
          </w:p>
        </w:tc>
      </w:tr>
      <w:tr w14:paraId="66EB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2C0B04A6">
            <w:pPr>
              <w:pStyle w:val="165"/>
              <w:spacing w:after="0"/>
              <w:ind w:left="1395"/>
              <w:rPr>
                <w:rFonts w:ascii="Times New Roman" w:hAnsi="Times New Roman" w:cs="Times New Roman"/>
                <w:sz w:val="21"/>
                <w:szCs w:val="21"/>
              </w:rPr>
            </w:pPr>
            <w:r>
              <w:rPr>
                <w:rFonts w:ascii="Times New Roman" w:hAnsi="Times New Roman" w:cs="Times New Roman"/>
                <w:spacing w:val="-2"/>
                <w:sz w:val="21"/>
                <w:szCs w:val="21"/>
              </w:rPr>
              <w:t>生产</w:t>
            </w:r>
          </w:p>
        </w:tc>
        <w:tc>
          <w:tcPr>
            <w:tcW w:w="3188" w:type="dxa"/>
            <w:vAlign w:val="center"/>
          </w:tcPr>
          <w:p w14:paraId="3DBE2574">
            <w:pPr>
              <w:autoSpaceDE w:val="0"/>
              <w:autoSpaceDN w:val="0"/>
              <w:snapToGrid w:val="0"/>
              <w:jc w:val="center"/>
              <w:rPr>
                <w:szCs w:val="21"/>
              </w:rPr>
            </w:pPr>
          </w:p>
        </w:tc>
        <w:tc>
          <w:tcPr>
            <w:tcW w:w="2599" w:type="dxa"/>
            <w:vAlign w:val="center"/>
          </w:tcPr>
          <w:p w14:paraId="42AFA21D">
            <w:pPr>
              <w:autoSpaceDE w:val="0"/>
              <w:autoSpaceDN w:val="0"/>
              <w:snapToGrid w:val="0"/>
              <w:jc w:val="center"/>
              <w:rPr>
                <w:szCs w:val="21"/>
              </w:rPr>
            </w:pPr>
          </w:p>
        </w:tc>
      </w:tr>
      <w:tr w14:paraId="68B5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64DBB2CD">
            <w:pPr>
              <w:pStyle w:val="165"/>
              <w:spacing w:after="0"/>
              <w:jc w:val="center"/>
              <w:rPr>
                <w:rFonts w:ascii="Times New Roman" w:hAnsi="Times New Roman" w:cs="Times New Roman"/>
                <w:sz w:val="21"/>
                <w:szCs w:val="21"/>
              </w:rPr>
            </w:pPr>
            <w:r>
              <w:rPr>
                <w:rFonts w:ascii="Times New Roman" w:hAnsi="Times New Roman" w:cs="Times New Roman"/>
                <w:spacing w:val="6"/>
                <w:sz w:val="21"/>
                <w:szCs w:val="21"/>
                <w:lang w:eastAsia="zh-CN"/>
              </w:rPr>
              <w:t>分销</w:t>
            </w:r>
          </w:p>
        </w:tc>
        <w:tc>
          <w:tcPr>
            <w:tcW w:w="3188" w:type="dxa"/>
            <w:vAlign w:val="center"/>
          </w:tcPr>
          <w:p w14:paraId="5B67471A">
            <w:pPr>
              <w:autoSpaceDE w:val="0"/>
              <w:autoSpaceDN w:val="0"/>
              <w:snapToGrid w:val="0"/>
              <w:jc w:val="center"/>
              <w:rPr>
                <w:szCs w:val="21"/>
              </w:rPr>
            </w:pPr>
          </w:p>
        </w:tc>
        <w:tc>
          <w:tcPr>
            <w:tcW w:w="2599" w:type="dxa"/>
            <w:vAlign w:val="center"/>
          </w:tcPr>
          <w:p w14:paraId="241F881D">
            <w:pPr>
              <w:autoSpaceDE w:val="0"/>
              <w:autoSpaceDN w:val="0"/>
              <w:snapToGrid w:val="0"/>
              <w:jc w:val="center"/>
              <w:rPr>
                <w:szCs w:val="21"/>
              </w:rPr>
            </w:pPr>
          </w:p>
        </w:tc>
      </w:tr>
      <w:tr w14:paraId="4B25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172D065D">
            <w:pPr>
              <w:pStyle w:val="165"/>
              <w:spacing w:after="0"/>
              <w:ind w:left="1395"/>
              <w:rPr>
                <w:rFonts w:ascii="Times New Roman" w:hAnsi="Times New Roman" w:cs="Times New Roman"/>
                <w:sz w:val="21"/>
                <w:szCs w:val="21"/>
              </w:rPr>
            </w:pPr>
            <w:r>
              <w:rPr>
                <w:rFonts w:ascii="Times New Roman" w:hAnsi="Times New Roman" w:cs="Times New Roman"/>
                <w:spacing w:val="10"/>
                <w:sz w:val="21"/>
                <w:szCs w:val="21"/>
              </w:rPr>
              <w:t>使用</w:t>
            </w:r>
          </w:p>
        </w:tc>
        <w:tc>
          <w:tcPr>
            <w:tcW w:w="3188" w:type="dxa"/>
            <w:vAlign w:val="center"/>
          </w:tcPr>
          <w:p w14:paraId="3559E126">
            <w:pPr>
              <w:autoSpaceDE w:val="0"/>
              <w:autoSpaceDN w:val="0"/>
              <w:snapToGrid w:val="0"/>
              <w:jc w:val="center"/>
              <w:rPr>
                <w:szCs w:val="21"/>
              </w:rPr>
            </w:pPr>
          </w:p>
        </w:tc>
        <w:tc>
          <w:tcPr>
            <w:tcW w:w="2599" w:type="dxa"/>
            <w:vAlign w:val="center"/>
          </w:tcPr>
          <w:p w14:paraId="541F2D98">
            <w:pPr>
              <w:autoSpaceDE w:val="0"/>
              <w:autoSpaceDN w:val="0"/>
              <w:snapToGrid w:val="0"/>
              <w:jc w:val="center"/>
              <w:rPr>
                <w:szCs w:val="21"/>
              </w:rPr>
            </w:pPr>
          </w:p>
        </w:tc>
      </w:tr>
      <w:tr w14:paraId="649D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65D614E5">
            <w:pPr>
              <w:pStyle w:val="165"/>
              <w:spacing w:after="0"/>
              <w:ind w:left="1225"/>
              <w:rPr>
                <w:rFonts w:ascii="Times New Roman" w:hAnsi="Times New Roman" w:cs="Times New Roman"/>
                <w:sz w:val="21"/>
                <w:szCs w:val="21"/>
              </w:rPr>
            </w:pPr>
            <w:r>
              <w:rPr>
                <w:rFonts w:ascii="Times New Roman" w:hAnsi="Times New Roman" w:cs="Times New Roman"/>
                <w:spacing w:val="-2"/>
                <w:sz w:val="21"/>
                <w:szCs w:val="21"/>
              </w:rPr>
              <w:t>生命末期</w:t>
            </w:r>
          </w:p>
        </w:tc>
        <w:tc>
          <w:tcPr>
            <w:tcW w:w="3188" w:type="dxa"/>
            <w:vAlign w:val="center"/>
          </w:tcPr>
          <w:p w14:paraId="60EC759F">
            <w:pPr>
              <w:autoSpaceDE w:val="0"/>
              <w:autoSpaceDN w:val="0"/>
              <w:snapToGrid w:val="0"/>
              <w:jc w:val="center"/>
              <w:rPr>
                <w:szCs w:val="21"/>
              </w:rPr>
            </w:pPr>
          </w:p>
        </w:tc>
        <w:tc>
          <w:tcPr>
            <w:tcW w:w="2599" w:type="dxa"/>
            <w:vAlign w:val="center"/>
          </w:tcPr>
          <w:p w14:paraId="6A694C32">
            <w:pPr>
              <w:autoSpaceDE w:val="0"/>
              <w:autoSpaceDN w:val="0"/>
              <w:snapToGrid w:val="0"/>
              <w:jc w:val="center"/>
              <w:rPr>
                <w:szCs w:val="21"/>
              </w:rPr>
            </w:pPr>
          </w:p>
        </w:tc>
      </w:tr>
      <w:tr w14:paraId="1B6D4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010" w:type="dxa"/>
          </w:tcPr>
          <w:p w14:paraId="775D3899">
            <w:pPr>
              <w:pStyle w:val="165"/>
              <w:spacing w:after="0"/>
              <w:ind w:left="1395"/>
              <w:rPr>
                <w:rFonts w:ascii="Times New Roman" w:hAnsi="Times New Roman" w:cs="Times New Roman"/>
                <w:sz w:val="21"/>
                <w:szCs w:val="21"/>
              </w:rPr>
            </w:pPr>
            <w:r>
              <w:rPr>
                <w:rFonts w:ascii="Times New Roman" w:hAnsi="Times New Roman" w:cs="Times New Roman"/>
                <w:spacing w:val="-3"/>
                <w:sz w:val="21"/>
                <w:szCs w:val="21"/>
              </w:rPr>
              <w:t>总计</w:t>
            </w:r>
          </w:p>
        </w:tc>
        <w:tc>
          <w:tcPr>
            <w:tcW w:w="3188" w:type="dxa"/>
            <w:vAlign w:val="center"/>
          </w:tcPr>
          <w:p w14:paraId="4E5134B3">
            <w:pPr>
              <w:autoSpaceDE w:val="0"/>
              <w:autoSpaceDN w:val="0"/>
              <w:snapToGrid w:val="0"/>
              <w:jc w:val="center"/>
              <w:rPr>
                <w:szCs w:val="21"/>
              </w:rPr>
            </w:pPr>
          </w:p>
        </w:tc>
        <w:tc>
          <w:tcPr>
            <w:tcW w:w="2599" w:type="dxa"/>
            <w:vAlign w:val="center"/>
          </w:tcPr>
          <w:p w14:paraId="1C5F9F41">
            <w:pPr>
              <w:autoSpaceDE w:val="0"/>
              <w:autoSpaceDN w:val="0"/>
              <w:snapToGrid w:val="0"/>
              <w:jc w:val="center"/>
              <w:rPr>
                <w:szCs w:val="21"/>
              </w:rPr>
            </w:pPr>
          </w:p>
        </w:tc>
      </w:tr>
    </w:tbl>
    <w:p w14:paraId="4B429C2F">
      <w:pPr>
        <w:pStyle w:val="13"/>
        <w:spacing w:line="241" w:lineRule="auto"/>
        <w:rPr>
          <w:rFonts w:ascii="Times New Roman" w:hAnsi="Times New Roman" w:cs="Times New Roman"/>
        </w:rPr>
      </w:pPr>
    </w:p>
    <w:p w14:paraId="11C2AB96">
      <w:pPr>
        <w:pStyle w:val="13"/>
        <w:spacing w:line="242" w:lineRule="auto"/>
        <w:rPr>
          <w:rFonts w:ascii="Times New Roman" w:hAnsi="Times New Roman" w:cs="Times New Roman"/>
        </w:rPr>
      </w:pPr>
    </w:p>
    <w:p w14:paraId="743D42ED">
      <w:pPr>
        <w:pStyle w:val="13"/>
        <w:spacing w:line="242" w:lineRule="auto"/>
        <w:rPr>
          <w:rFonts w:ascii="Times New Roman" w:hAnsi="Times New Roman" w:cs="Times New Roman"/>
        </w:rPr>
      </w:pPr>
    </w:p>
    <w:p w14:paraId="67F5A63E">
      <w:pPr>
        <w:spacing w:line="360" w:lineRule="auto"/>
        <w:ind w:right="1083"/>
        <w:jc w:val="center"/>
        <w:rPr>
          <w:rFonts w:eastAsia="黑体"/>
          <w:szCs w:val="21"/>
        </w:rPr>
      </w:pPr>
      <w:r>
        <w:rPr>
          <w:rFonts w:eastAsia="黑体"/>
          <w:spacing w:val="-1"/>
          <w:szCs w:val="21"/>
        </w:rPr>
        <w:t>图D.2</w:t>
      </w:r>
      <w:r>
        <w:rPr>
          <w:rFonts w:eastAsia="黑体"/>
          <w:spacing w:val="52"/>
          <w:szCs w:val="21"/>
        </w:rPr>
        <w:t xml:space="preserve"> </w:t>
      </w:r>
      <w:r>
        <w:rPr>
          <w:rFonts w:eastAsia="黑体"/>
          <w:spacing w:val="-1"/>
          <w:szCs w:val="21"/>
        </w:rPr>
        <w:t>××各生命周期阶段碳排放分布图</w:t>
      </w:r>
    </w:p>
    <w:p w14:paraId="36653B76">
      <w:pPr>
        <w:spacing w:line="360" w:lineRule="auto"/>
        <w:rPr>
          <w:spacing w:val="26"/>
          <w:szCs w:val="21"/>
        </w:rPr>
      </w:pPr>
      <w:r>
        <w:rPr>
          <w:b/>
          <w:bCs/>
          <w:szCs w:val="21"/>
        </w:rPr>
        <w:t>注：</w:t>
      </w:r>
      <w:r>
        <w:rPr>
          <w:szCs w:val="21"/>
        </w:rPr>
        <w:t>具体产品生命周期阶段碳排放分布图一般以饼状图或柱形图表示各生命周期阶段的碳排放情况。</w:t>
      </w:r>
      <w:r>
        <w:rPr>
          <w:spacing w:val="26"/>
          <w:szCs w:val="21"/>
        </w:rPr>
        <w:t xml:space="preserve"> </w:t>
      </w:r>
    </w:p>
    <w:p w14:paraId="132A1198">
      <w:pPr>
        <w:spacing w:before="20" w:line="221" w:lineRule="auto"/>
        <w:ind w:left="3"/>
        <w:rPr>
          <w:rFonts w:eastAsia="黑体"/>
          <w:szCs w:val="21"/>
        </w:rPr>
      </w:pPr>
      <w:r>
        <w:rPr>
          <w:rFonts w:eastAsia="黑体"/>
          <w:b/>
          <w:bCs/>
          <w:szCs w:val="21"/>
        </w:rPr>
        <w:t>2.假设和局限性说明(可选项)</w:t>
      </w:r>
    </w:p>
    <w:p w14:paraId="4FF1BB06">
      <w:pPr>
        <w:spacing w:before="242" w:line="219" w:lineRule="auto"/>
        <w:ind w:left="430"/>
        <w:rPr>
          <w:szCs w:val="21"/>
        </w:rPr>
      </w:pPr>
      <w:r>
        <w:rPr>
          <w:szCs w:val="21"/>
        </w:rPr>
        <w:t>结合量化情况，对范围、数据选择、情景设定等相关的假设和局限进行说明。</w:t>
      </w:r>
    </w:p>
    <w:p w14:paraId="07A0C7F9">
      <w:pPr>
        <w:spacing w:before="198" w:line="222" w:lineRule="auto"/>
        <w:ind w:left="3"/>
        <w:rPr>
          <w:rFonts w:eastAsia="黑体"/>
          <w:b/>
          <w:bCs/>
          <w:spacing w:val="-3"/>
          <w:szCs w:val="21"/>
        </w:rPr>
      </w:pPr>
      <w:r>
        <w:rPr>
          <w:rFonts w:eastAsia="黑体"/>
          <w:b/>
          <w:bCs/>
          <w:spacing w:val="-3"/>
          <w:szCs w:val="21"/>
        </w:rPr>
        <w:t>3.改进建议</w:t>
      </w:r>
    </w:p>
    <w:p w14:paraId="4F11B372">
      <w:pPr>
        <w:spacing w:before="198" w:line="222" w:lineRule="auto"/>
        <w:ind w:left="3"/>
        <w:rPr>
          <w:rFonts w:eastAsia="黑体"/>
          <w:b/>
          <w:bCs/>
          <w:spacing w:val="-3"/>
          <w:szCs w:val="21"/>
        </w:rPr>
      </w:pPr>
    </w:p>
    <w:p w14:paraId="372CE2A9">
      <w:pPr>
        <w:pStyle w:val="53"/>
        <w:numPr>
          <w:ilvl w:val="0"/>
          <w:numId w:val="0"/>
        </w:numPr>
        <w:spacing w:beforeLines="0" w:afterLines="0" w:line="360" w:lineRule="auto"/>
        <w:jc w:val="center"/>
        <w:rPr>
          <w:rFonts w:ascii="Times New Roman"/>
        </w:rPr>
      </w:pPr>
      <w:bookmarkStart w:id="53" w:name="_Toc211864634"/>
      <w:r>
        <w:rPr>
          <w:rFonts w:ascii="Times New Roman"/>
        </w:rPr>
        <w:t>附录E</w:t>
      </w:r>
      <w:r>
        <w:rPr>
          <w:rFonts w:ascii="Times New Roman"/>
        </w:rPr>
        <w:br w:type="textWrapping"/>
      </w:r>
      <w:r>
        <w:rPr>
          <w:rFonts w:hint="eastAsia" w:ascii="Times New Roman"/>
        </w:rPr>
        <w:t>（资料性）</w:t>
      </w:r>
      <w:r>
        <w:rPr>
          <w:rFonts w:ascii="Times New Roman"/>
        </w:rPr>
        <w:br w:type="textWrapping"/>
      </w:r>
      <w:r>
        <w:rPr>
          <w:rFonts w:hint="eastAsia" w:ascii="Times New Roman"/>
        </w:rPr>
        <w:t>非终端消费产品——热回收新风机组碳足迹计算示例</w:t>
      </w:r>
      <w:bookmarkEnd w:id="53"/>
    </w:p>
    <w:p w14:paraId="761959D9">
      <w:pPr>
        <w:spacing w:line="223" w:lineRule="auto"/>
        <w:ind w:left="6"/>
        <w:rPr>
          <w:b/>
          <w:bCs/>
          <w:spacing w:val="-3"/>
          <w:szCs w:val="21"/>
        </w:rPr>
      </w:pPr>
      <w:bookmarkStart w:id="54" w:name="_Hlk205889559"/>
    </w:p>
    <w:p w14:paraId="3BF84018">
      <w:pPr>
        <w:spacing w:line="336" w:lineRule="auto"/>
        <w:ind w:left="6"/>
        <w:rPr>
          <w:b/>
          <w:bCs/>
          <w:spacing w:val="-3"/>
          <w:szCs w:val="21"/>
        </w:rPr>
      </w:pPr>
      <w:r>
        <w:rPr>
          <w:b/>
          <w:bCs/>
          <w:spacing w:val="-3"/>
          <w:szCs w:val="21"/>
        </w:rPr>
        <w:t>E.1 热回收新风机组产品描述</w:t>
      </w:r>
    </w:p>
    <w:p w14:paraId="543AFD55">
      <w:pPr>
        <w:spacing w:line="336" w:lineRule="auto"/>
        <w:ind w:left="6" w:firstLine="408" w:firstLineChars="200"/>
        <w:rPr>
          <w:spacing w:val="-3"/>
          <w:szCs w:val="21"/>
        </w:rPr>
      </w:pPr>
      <w:r>
        <w:rPr>
          <w:spacing w:val="-3"/>
          <w:szCs w:val="21"/>
        </w:rPr>
        <w:t>XX公司生产的</w:t>
      </w:r>
      <w:bookmarkStart w:id="55" w:name="OLE_LINK6"/>
      <w:r>
        <w:rPr>
          <w:spacing w:val="-3"/>
          <w:szCs w:val="21"/>
        </w:rPr>
        <w:t>热回收新风机组</w:t>
      </w:r>
      <w:bookmarkEnd w:id="55"/>
      <w:r>
        <w:rPr>
          <w:spacing w:val="-3"/>
          <w:szCs w:val="21"/>
        </w:rPr>
        <w:t>，产品型号为XXXXXX，是以显热或全热回收装置为核心，通过风机驱动空气流动实现新风对排风能量的回收和新风过滤的设备。产品主要性能参数如下：</w:t>
      </w:r>
    </w:p>
    <w:p w14:paraId="04BD6228">
      <w:pPr>
        <w:spacing w:line="336" w:lineRule="auto"/>
        <w:ind w:left="6" w:firstLine="408" w:firstLineChars="200"/>
        <w:rPr>
          <w:spacing w:val="-3"/>
          <w:szCs w:val="21"/>
        </w:rPr>
      </w:pPr>
      <w:r>
        <w:rPr>
          <w:spacing w:val="-3"/>
          <w:szCs w:val="21"/>
        </w:rPr>
        <w:t>额定风量：350m</w:t>
      </w:r>
      <w:r>
        <w:rPr>
          <w:spacing w:val="-3"/>
          <w:szCs w:val="21"/>
          <w:vertAlign w:val="superscript"/>
        </w:rPr>
        <w:t>3</w:t>
      </w:r>
      <w:r>
        <w:rPr>
          <w:spacing w:val="-3"/>
          <w:szCs w:val="21"/>
        </w:rPr>
        <w:t>/h</w:t>
      </w:r>
    </w:p>
    <w:p w14:paraId="78CA04B9">
      <w:pPr>
        <w:spacing w:line="336" w:lineRule="auto"/>
        <w:ind w:left="6" w:firstLine="408" w:firstLineChars="200"/>
        <w:rPr>
          <w:spacing w:val="-3"/>
          <w:szCs w:val="21"/>
        </w:rPr>
      </w:pPr>
      <w:r>
        <w:rPr>
          <w:spacing w:val="-3"/>
          <w:szCs w:val="21"/>
        </w:rPr>
        <w:t>额定静压：80Pa</w:t>
      </w:r>
    </w:p>
    <w:p w14:paraId="7903D658">
      <w:pPr>
        <w:spacing w:line="336" w:lineRule="auto"/>
        <w:ind w:left="6" w:firstLine="408" w:firstLineChars="200"/>
        <w:rPr>
          <w:spacing w:val="-3"/>
          <w:szCs w:val="21"/>
        </w:rPr>
      </w:pPr>
      <w:r>
        <w:rPr>
          <w:spacing w:val="-3"/>
          <w:szCs w:val="21"/>
        </w:rPr>
        <w:t>额定焓效率：60%（制冷）/65%（制热）</w:t>
      </w:r>
    </w:p>
    <w:p w14:paraId="28073299">
      <w:pPr>
        <w:spacing w:before="198" w:line="336" w:lineRule="auto"/>
        <w:ind w:left="3"/>
        <w:rPr>
          <w:b/>
          <w:bCs/>
          <w:spacing w:val="-3"/>
          <w:szCs w:val="21"/>
        </w:rPr>
      </w:pPr>
      <w:r>
        <w:rPr>
          <w:b/>
          <w:bCs/>
          <w:spacing w:val="-3"/>
          <w:szCs w:val="21"/>
        </w:rPr>
        <w:t>E.2功能单位选取</w:t>
      </w:r>
    </w:p>
    <w:p w14:paraId="4047D794">
      <w:pPr>
        <w:spacing w:line="336" w:lineRule="auto"/>
        <w:ind w:left="6" w:firstLine="525" w:firstLineChars="250"/>
      </w:pPr>
      <w:r>
        <w:t>热回收新风机组的功能单位取单位风量（m</w:t>
      </w:r>
      <w:r>
        <w:rPr>
          <w:vertAlign w:val="superscript"/>
        </w:rPr>
        <w:t>3</w:t>
      </w:r>
      <w:r>
        <w:t>/h）。</w:t>
      </w:r>
    </w:p>
    <w:p w14:paraId="00E2424D">
      <w:pPr>
        <w:spacing w:line="336" w:lineRule="auto"/>
        <w:ind w:left="6"/>
        <w:rPr>
          <w:b/>
          <w:bCs/>
        </w:rPr>
      </w:pPr>
      <w:r>
        <w:rPr>
          <w:b/>
          <w:bCs/>
          <w:spacing w:val="-3"/>
          <w:szCs w:val="21"/>
        </w:rPr>
        <w:t>E.</w:t>
      </w:r>
      <w:r>
        <w:rPr>
          <w:b/>
          <w:bCs/>
        </w:rPr>
        <w:t>3 系统边界</w:t>
      </w:r>
    </w:p>
    <w:p w14:paraId="191D452E">
      <w:pPr>
        <w:spacing w:line="336" w:lineRule="auto"/>
        <w:ind w:left="6" w:firstLine="408" w:firstLineChars="200"/>
      </w:pPr>
      <w:r>
        <w:rPr>
          <w:spacing w:val="-3"/>
          <w:szCs w:val="21"/>
        </w:rPr>
        <w:t>热回收新风机组的系统边界为“从摇篮到大门”，包括</w:t>
      </w:r>
      <w:r>
        <w:t>生命周期内原材料获取阶段和生产阶段的温室气体排放。</w:t>
      </w:r>
    </w:p>
    <w:p w14:paraId="39667038">
      <w:pPr>
        <w:spacing w:line="336" w:lineRule="auto"/>
      </w:pPr>
      <w:r>
        <w:rPr>
          <w:spacing w:val="-3"/>
          <w:szCs w:val="21"/>
        </w:rPr>
        <w:t>E.</w:t>
      </w:r>
      <w:r>
        <w:t>3.1 原材料获取阶段</w:t>
      </w:r>
    </w:p>
    <w:p w14:paraId="3F74609E">
      <w:pPr>
        <w:spacing w:line="336" w:lineRule="auto"/>
        <w:ind w:firstLine="420" w:firstLineChars="200"/>
      </w:pPr>
      <w:r>
        <w:t>热回收新风机组在原材料获取阶段的原材料和零部件包括：</w:t>
      </w:r>
      <w:r>
        <w:rPr>
          <w:szCs w:val="21"/>
        </w:rPr>
        <w:t>全热芯体、电机、风扇、钣金、保温垫、PM</w:t>
      </w:r>
      <w:r>
        <w:rPr>
          <w:szCs w:val="21"/>
          <w:vertAlign w:val="subscript"/>
        </w:rPr>
        <w:t>2.5</w:t>
      </w:r>
      <w:r>
        <w:rPr>
          <w:szCs w:val="21"/>
        </w:rPr>
        <w:t>高效滤网、粗效滤网和包装箱，等。</w:t>
      </w:r>
    </w:p>
    <w:p w14:paraId="0A63AEF7">
      <w:pPr>
        <w:spacing w:line="336" w:lineRule="auto"/>
      </w:pPr>
      <w:r>
        <w:rPr>
          <w:spacing w:val="-3"/>
          <w:szCs w:val="21"/>
        </w:rPr>
        <w:t>E.</w:t>
      </w:r>
      <w:r>
        <w:t>3.2 生产阶段</w:t>
      </w:r>
    </w:p>
    <w:p w14:paraId="209B411A">
      <w:pPr>
        <w:spacing w:line="336" w:lineRule="auto"/>
      </w:pPr>
      <w:r>
        <w:t xml:space="preserve">       热回收新风机组在生产阶段包含的生产过程：电器盒组件、风机组件预装，框体组件上线、法兰安装，风机组件、内循环组件安装，电器盒组件安装，整体内部理线，风阀检测，三合一传感器安装，芯体安装，安检、商检，外观检查，整机包装。具体生产工艺流程如图E.1所示。</w:t>
      </w:r>
    </w:p>
    <w:p w14:paraId="185A9A5A">
      <w:pPr>
        <w:spacing w:before="198" w:line="360" w:lineRule="auto"/>
        <w:jc w:val="center"/>
        <w:rPr>
          <w:spacing w:val="-3"/>
          <w:szCs w:val="21"/>
        </w:rPr>
      </w:pPr>
      <w:r>
        <w:rPr>
          <w:spacing w:val="-3"/>
          <w:szCs w:val="21"/>
        </w:rPr>
        <mc:AlternateContent>
          <mc:Choice Requires="wps">
            <w:drawing>
              <wp:anchor distT="0" distB="0" distL="114300" distR="114300" simplePos="0" relativeHeight="251679744" behindDoc="0" locked="0" layoutInCell="1" allowOverlap="1">
                <wp:simplePos x="0" y="0"/>
                <wp:positionH relativeFrom="column">
                  <wp:posOffset>4573270</wp:posOffset>
                </wp:positionH>
                <wp:positionV relativeFrom="paragraph">
                  <wp:posOffset>354965</wp:posOffset>
                </wp:positionV>
                <wp:extent cx="0" cy="234950"/>
                <wp:effectExtent l="76200" t="0" r="57150" b="50800"/>
                <wp:wrapNone/>
                <wp:docPr id="651621598" name="直接箭头连接符 30"/>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0" o:spid="_x0000_s1026" o:spt="32" type="#_x0000_t32" style="position:absolute;left:0pt;margin-left:360.1pt;margin-top:27.95pt;height:18.5pt;width:0pt;z-index:251679744;mso-width-relative:page;mso-height-relative:page;" filled="f" stroked="t" coordsize="21600,21600" o:gfxdata="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HRnRtcAAAAJAQAADwAAAAAAAAABACAA&#10;AAAiAAAAZHJzL2Rvd25yZXYueG1sUEsBAhQAFAAAAAgAh07iQHjJUGcOAgAA6QMAAA4AAAAAAAAA&#10;AQAgAAAAJgEAAGRycy9lMm9Eb2MueG1sUEsFBgAAAAAGAAYAWQEAAKYFA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78720" behindDoc="0" locked="0" layoutInCell="1" allowOverlap="1">
                <wp:simplePos x="0" y="0"/>
                <wp:positionH relativeFrom="column">
                  <wp:posOffset>3868420</wp:posOffset>
                </wp:positionH>
                <wp:positionV relativeFrom="paragraph">
                  <wp:posOffset>183515</wp:posOffset>
                </wp:positionV>
                <wp:extent cx="323850" cy="0"/>
                <wp:effectExtent l="0" t="76200" r="19050" b="95250"/>
                <wp:wrapNone/>
                <wp:docPr id="1242561130" name="直接箭头连接符 29"/>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o:spt="32" type="#_x0000_t32" style="position:absolute;left:0pt;margin-left:304.6pt;margin-top:14.45pt;height:0pt;width:25.5pt;z-index:251678720;mso-width-relative:page;mso-height-relative:page;" filled="f" stroked="t" coordsize="21600,21600" o:gfxdata="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SKVynWAAAACQEAAA8AAAAAAAAAAQAg&#10;AAAAIgAAAGRycy9kb3ducmV2LnhtbFBLAQIUABQAAAAIAIdO4kCbI3jyEAIAAOoDAAAOAAAAAAAA&#10;AAEAIAAAACUBAABkcnMvZTJvRG9jLnhtbFBLBQYAAAAABgAGAFkBAACnBQ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77696" behindDoc="0" locked="0" layoutInCell="1" allowOverlap="1">
                <wp:simplePos x="0" y="0"/>
                <wp:positionH relativeFrom="column">
                  <wp:posOffset>2750820</wp:posOffset>
                </wp:positionH>
                <wp:positionV relativeFrom="paragraph">
                  <wp:posOffset>183515</wp:posOffset>
                </wp:positionV>
                <wp:extent cx="336550" cy="0"/>
                <wp:effectExtent l="0" t="76200" r="25400" b="95250"/>
                <wp:wrapNone/>
                <wp:docPr id="479668898" name="直接箭头连接符 28"/>
                <wp:cNvGraphicFramePr/>
                <a:graphic xmlns:a="http://schemas.openxmlformats.org/drawingml/2006/main">
                  <a:graphicData uri="http://schemas.microsoft.com/office/word/2010/wordprocessingShape">
                    <wps:wsp>
                      <wps:cNvCnPr/>
                      <wps:spPr>
                        <a:xfrm>
                          <a:off x="0" y="0"/>
                          <a:ext cx="336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8" o:spid="_x0000_s1026" o:spt="32" type="#_x0000_t32" style="position:absolute;left:0pt;margin-left:216.6pt;margin-top:14.45pt;height:0pt;width:26.5pt;z-index:251677696;mso-width-relative:page;mso-height-relative:page;" filled="f" stroked="t" coordsize="21600,21600" o:gfxdata="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6oS52AAAAAkBAAAPAAAAAAAAAAEA&#10;IAAAACIAAABkcnMvZG93bnJldi54bWxQSwECFAAUAAAACACHTuJAhskIbQ8CAADpAwAADgAAAAAA&#10;AAABACAAAAAnAQAAZHJzL2Uyb0RvYy54bWxQSwUGAAAAAAYABgBZAQAAqAU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76672" behindDoc="0" locked="0" layoutInCell="1" allowOverlap="1">
                <wp:simplePos x="0" y="0"/>
                <wp:positionH relativeFrom="column">
                  <wp:posOffset>1626870</wp:posOffset>
                </wp:positionH>
                <wp:positionV relativeFrom="paragraph">
                  <wp:posOffset>183515</wp:posOffset>
                </wp:positionV>
                <wp:extent cx="342900" cy="0"/>
                <wp:effectExtent l="0" t="76200" r="19050" b="95250"/>
                <wp:wrapNone/>
                <wp:docPr id="1685026815" name="直接箭头连接符 27"/>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o:spt="32" type="#_x0000_t32" style="position:absolute;left:0pt;margin-left:128.1pt;margin-top:14.45pt;height:0pt;width:27pt;z-index:251676672;mso-width-relative:page;mso-height-relative:page;" filled="f" stroked="t" coordsize="21600,21600" o:gfxdata="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uwP/PXAAAACQEAAA8AAAAAAAAA&#10;AQAgAAAAIgAAAGRycy9kb3ducmV2LnhtbFBLAQIUABQAAAAIAIdO4kAHeZVCEgIAAOoDAAAOAAAA&#10;AAAAAAEAIAAAACYBAABkcnMvZTJvRG9jLnhtbFBLBQYAAAAABgAGAFkBAACqBQ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66432" behindDoc="0" locked="0" layoutInCell="1" allowOverlap="1">
                <wp:simplePos x="0" y="0"/>
                <wp:positionH relativeFrom="column">
                  <wp:posOffset>1968500</wp:posOffset>
                </wp:positionH>
                <wp:positionV relativeFrom="paragraph">
                  <wp:posOffset>22860</wp:posOffset>
                </wp:positionV>
                <wp:extent cx="781050" cy="349250"/>
                <wp:effectExtent l="0" t="0" r="19050" b="12700"/>
                <wp:wrapNone/>
                <wp:docPr id="1149215338"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9424E2">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框体组件上线，法兰安装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155pt;margin-top:1.8pt;height:27.5pt;width:61.5pt;z-index:251666432;v-text-anchor:middle;mso-width-relative:page;mso-height-relative:page;" fillcolor="#DAE3F3 [660]" filled="t" stroked="t" coordsize="21600,21600" arcsize="0.166666666666667" o:gfxdata="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XIF3Y1gAAAAgBAAAPAAAAAAAAAAEAIAAAACIA&#10;AABkcnMvZG93bnJldi54bWxQSwECFAAUAAAACACHTuJASDhWMbYCAABvBQAADgAAAAAAAAABACAA&#10;AAAlAQAAZHJzL2Uyb0RvYy54bWxQSwUGAAAAAAYABgBZAQAATQYAAAAA&#10;">
                <v:fill on="t" focussize="0,0"/>
                <v:stroke weight="1pt" color="#172C51 [3204]" miterlimit="8" joinstyle="miter"/>
                <v:imagedata o:title=""/>
                <o:lock v:ext="edit" aspectratio="f"/>
                <v:textbox>
                  <w:txbxContent>
                    <w:p w14:paraId="069424E2">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框体组件上线，法兰安装</w:t>
                      </w:r>
                    </w:p>
                  </w:txbxContent>
                </v:textbox>
              </v:roundrect>
            </w:pict>
          </mc:Fallback>
        </mc:AlternateContent>
      </w:r>
      <w:r>
        <w:rPr>
          <w:spacing w:val="-3"/>
          <w:szCs w:val="21"/>
        </w:rPr>
        <mc:AlternateContent>
          <mc:Choice Requires="wps">
            <w:drawing>
              <wp:anchor distT="0" distB="0" distL="114300" distR="114300" simplePos="0" relativeHeight="251668480" behindDoc="0" locked="0" layoutInCell="1" allowOverlap="1">
                <wp:simplePos x="0" y="0"/>
                <wp:positionH relativeFrom="column">
                  <wp:posOffset>4191000</wp:posOffset>
                </wp:positionH>
                <wp:positionV relativeFrom="paragraph">
                  <wp:posOffset>6350</wp:posOffset>
                </wp:positionV>
                <wp:extent cx="781050" cy="349250"/>
                <wp:effectExtent l="0" t="0" r="19050" b="12700"/>
                <wp:wrapNone/>
                <wp:docPr id="157480554"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689B16">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电气盒组件</w:t>
                            </w:r>
                          </w:p>
                          <w:p w14:paraId="07AA221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330pt;margin-top:0.5pt;height:27.5pt;width:61.5pt;z-index:251668480;v-text-anchor:middle;mso-width-relative:page;mso-height-relative:page;" fillcolor="#DAE3F3 [660]" filled="t" stroked="t" coordsize="21600,21600" arcsize="0.166666666666667" o:gfxdata="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hLDh9YAAAAIAQAADwAAAAAAAAABACAAAAAi&#10;AAAAZHJzL2Rvd25yZXYueG1sUEsBAhQAFAAAAAgAh07iQDgKA8a3AgAAbgUAAA4AAAAAAAAAAQAg&#10;AAAAJQEAAGRycy9lMm9Eb2MueG1sUEsFBgAAAAAGAAYAWQEAAE4GAAAAAA==&#10;">
                <v:fill on="t" focussize="0,0"/>
                <v:stroke weight="1pt" color="#172C51 [3204]" miterlimit="8" joinstyle="miter"/>
                <v:imagedata o:title=""/>
                <o:lock v:ext="edit" aspectratio="f"/>
                <v:textbox>
                  <w:txbxContent>
                    <w:p w14:paraId="6E689B16">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电气盒组件</w:t>
                      </w:r>
                    </w:p>
                    <w:p w14:paraId="07AA221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安装</w:t>
                      </w:r>
                    </w:p>
                  </w:txbxContent>
                </v:textbox>
              </v:roundrect>
            </w:pict>
          </mc:Fallback>
        </mc:AlternateContent>
      </w:r>
      <w:r>
        <w:rPr>
          <w:spacing w:val="-3"/>
          <w:szCs w:val="21"/>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10160</wp:posOffset>
                </wp:positionV>
                <wp:extent cx="781050" cy="349250"/>
                <wp:effectExtent l="0" t="0" r="19050" b="12700"/>
                <wp:wrapNone/>
                <wp:docPr id="1183892676"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C7B53">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风机组件、内循环组件安装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243pt;margin-top:0.8pt;height:27.5pt;width:61.5pt;z-index:251667456;v-text-anchor:middle;mso-width-relative:page;mso-height-relative:page;" fillcolor="#DAE3F3 [660]" filled="t" stroked="t" coordsize="21600,21600" arcsize="0.166666666666667" o:gfxdata="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0LQv1QAAAAgBAAAPAAAAAAAAAAEAIAAAACIA&#10;AABkcnMvZG93bnJldi54bWxQSwECFAAUAAAACACHTuJAJTnHfrcCAABvBQAADgAAAAAAAAABACAA&#10;AAAkAQAAZHJzL2Uyb0RvYy54bWxQSwUGAAAAAAYABgBZAQAATQYAAAAA&#10;">
                <v:fill on="t" focussize="0,0"/>
                <v:stroke weight="1pt" color="#172C51 [3204]" miterlimit="8" joinstyle="miter"/>
                <v:imagedata o:title=""/>
                <o:lock v:ext="edit" aspectratio="f"/>
                <v:textbox>
                  <w:txbxContent>
                    <w:p w14:paraId="5DAC7B53">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风机组件、内循环组件安装</w:t>
                      </w:r>
                    </w:p>
                  </w:txbxContent>
                </v:textbox>
              </v:roundrect>
            </w:pict>
          </mc:Fallback>
        </mc:AlternateContent>
      </w:r>
      <w:r>
        <w:rPr>
          <w:spacing w:val="-3"/>
          <w:szCs w:val="21"/>
        </w:rPr>
        <mc:AlternateContent>
          <mc:Choice Requires="wps">
            <w:drawing>
              <wp:anchor distT="0" distB="0" distL="114300" distR="114300" simplePos="0" relativeHeight="251665408" behindDoc="0" locked="0" layoutInCell="1" allowOverlap="1">
                <wp:simplePos x="0" y="0"/>
                <wp:positionH relativeFrom="column">
                  <wp:posOffset>845820</wp:posOffset>
                </wp:positionH>
                <wp:positionV relativeFrom="paragraph">
                  <wp:posOffset>20955</wp:posOffset>
                </wp:positionV>
                <wp:extent cx="781050" cy="349250"/>
                <wp:effectExtent l="0" t="0" r="19050" b="12700"/>
                <wp:wrapNone/>
                <wp:docPr id="2034076187"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FB8E6A">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电气盒组件、</w:t>
                            </w:r>
                          </w:p>
                          <w:p w14:paraId="18CBD48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风机组件预装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66.6pt;margin-top:1.65pt;height:27.5pt;width:61.5pt;z-index:251665408;v-text-anchor:middle;mso-width-relative:page;mso-height-relative:page;" fillcolor="#DAE3F3 [660]" filled="t" stroked="t" coordsize="21600,21600" arcsize="0.166666666666667" o:gfxdata="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gkA/GtUAAAAIAQAADwAAAAAAAAABACAAAAAi&#10;AAAAZHJzL2Rvd25yZXYueG1sUEsBAhQAFAAAAAgAh07iQP0CvHm4AgAAbwUAAA4AAAAAAAAAAQAg&#10;AAAAJAEAAGRycy9lMm9Eb2MueG1sUEsFBgAAAAAGAAYAWQEAAE4GAAAAAA==&#10;">
                <v:fill on="t" focussize="0,0"/>
                <v:stroke weight="1pt" color="#172C51 [3204]" miterlimit="8" joinstyle="miter"/>
                <v:imagedata o:title=""/>
                <o:lock v:ext="edit" aspectratio="f"/>
                <v:textbox>
                  <w:txbxContent>
                    <w:p w14:paraId="60FB8E6A">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电气盒组件、</w:t>
                      </w:r>
                    </w:p>
                    <w:p w14:paraId="18CBD48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风机组件预装</w:t>
                      </w:r>
                    </w:p>
                  </w:txbxContent>
                </v:textbox>
              </v:roundrect>
            </w:pict>
          </mc:Fallback>
        </mc:AlternateContent>
      </w:r>
    </w:p>
    <w:p w14:paraId="0F17B969">
      <w:pPr>
        <w:spacing w:before="198" w:line="222" w:lineRule="auto"/>
        <w:ind w:left="3"/>
        <w:jc w:val="center"/>
        <w:rPr>
          <w:rFonts w:eastAsia="黑体"/>
          <w:spacing w:val="-3"/>
          <w:szCs w:val="21"/>
        </w:rPr>
      </w:pPr>
      <w:r>
        <w:rPr>
          <w:spacing w:val="-3"/>
          <w:szCs w:val="21"/>
        </w:rPr>
        <mc:AlternateContent>
          <mc:Choice Requires="wps">
            <w:drawing>
              <wp:anchor distT="0" distB="0" distL="114300" distR="114300" simplePos="0" relativeHeight="251669504" behindDoc="0" locked="0" layoutInCell="1" allowOverlap="1">
                <wp:simplePos x="0" y="0"/>
                <wp:positionH relativeFrom="column">
                  <wp:posOffset>4191000</wp:posOffset>
                </wp:positionH>
                <wp:positionV relativeFrom="paragraph">
                  <wp:posOffset>165100</wp:posOffset>
                </wp:positionV>
                <wp:extent cx="781050" cy="349250"/>
                <wp:effectExtent l="0" t="0" r="19050" b="12700"/>
                <wp:wrapNone/>
                <wp:docPr id="547934647"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A10E7F">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整机内部理线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330pt;margin-top:13pt;height:27.5pt;width:61.5pt;z-index:251669504;v-text-anchor:middle;mso-width-relative:page;mso-height-relative:page;" fillcolor="#DAE3F3 [660]" filled="t" stroked="t" coordsize="21600,21600" arcsize="0.166666666666667" o:gfxdata="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MQfGG1wAAAAkBAAAPAAAAAAAAAAEAIAAA&#10;ACIAAABkcnMvZG93bnJldi54bWxQSwECFAAUAAAACACHTuJARIPcv7gCAABuBQAADgAAAAAAAAAB&#10;ACAAAAAmAQAAZHJzL2Uyb0RvYy54bWxQSwUGAAAAAAYABgBZAQAAUAYAAAAA&#10;">
                <v:fill on="t" focussize="0,0"/>
                <v:stroke weight="1pt" color="#172C51 [3204]" miterlimit="8" joinstyle="miter"/>
                <v:imagedata o:title=""/>
                <o:lock v:ext="edit" aspectratio="f"/>
                <v:textbox>
                  <w:txbxContent>
                    <w:p w14:paraId="0EA10E7F">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整机内部理线</w:t>
                      </w:r>
                    </w:p>
                  </w:txbxContent>
                </v:textbox>
              </v:roundrect>
            </w:pict>
          </mc:Fallback>
        </mc:AlternateContent>
      </w:r>
    </w:p>
    <w:p w14:paraId="1161B6DA">
      <w:pPr>
        <w:spacing w:before="198" w:line="222" w:lineRule="auto"/>
        <w:ind w:left="3"/>
        <w:jc w:val="center"/>
        <w:rPr>
          <w:rFonts w:eastAsia="黑体"/>
          <w:spacing w:val="-3"/>
          <w:szCs w:val="21"/>
        </w:rPr>
      </w:pPr>
      <w:r>
        <w:rPr>
          <w:rFonts w:eastAsia="黑体"/>
          <w:spacing w:val="-3"/>
          <w:szCs w:val="21"/>
        </w:rPr>
        <mc:AlternateContent>
          <mc:Choice Requires="wps">
            <w:drawing>
              <wp:anchor distT="0" distB="0" distL="114300" distR="114300" simplePos="0" relativeHeight="251680768" behindDoc="0" locked="0" layoutInCell="1" allowOverlap="1">
                <wp:simplePos x="0" y="0"/>
                <wp:positionH relativeFrom="column">
                  <wp:posOffset>4573270</wp:posOffset>
                </wp:positionH>
                <wp:positionV relativeFrom="paragraph">
                  <wp:posOffset>192405</wp:posOffset>
                </wp:positionV>
                <wp:extent cx="0" cy="215900"/>
                <wp:effectExtent l="76200" t="0" r="57150" b="50800"/>
                <wp:wrapNone/>
                <wp:docPr id="61055649" name="直接箭头连接符 31"/>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1" o:spid="_x0000_s1026" o:spt="32" type="#_x0000_t32" style="position:absolute;left:0pt;margin-left:360.1pt;margin-top:15.15pt;height:17pt;width:0pt;z-index:251680768;mso-width-relative:page;mso-height-relative:page;" filled="f" stroked="t" coordsize="21600,21600" o:gfxdata="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IgcH1wAAAAkBAAAPAAAAAAAAAAEA&#10;IAAAACIAAABkcnMvZG93bnJldi54bWxQSwECFAAUAAAACACHTuJAYd06JxACAADoAwAADgAAAAAA&#10;AAABACAAAAAmAQAAZHJzL2Uyb0RvYy54bWxQSwUGAAAAAAYABgBZAQAAqAUAAAAA&#10;">
                <v:fill on="f" focussize="0,0"/>
                <v:stroke weight="0.5pt" color="#4472C4 [3204]" miterlimit="8" joinstyle="miter" endarrow="block"/>
                <v:imagedata o:title=""/>
                <o:lock v:ext="edit" aspectratio="f"/>
              </v:shape>
            </w:pict>
          </mc:Fallback>
        </mc:AlternateContent>
      </w:r>
    </w:p>
    <w:p w14:paraId="48BFEEC3">
      <w:pPr>
        <w:spacing w:before="198" w:line="222" w:lineRule="auto"/>
        <w:ind w:left="3"/>
        <w:jc w:val="center"/>
        <w:rPr>
          <w:rFonts w:eastAsia="黑体"/>
          <w:spacing w:val="-3"/>
          <w:szCs w:val="21"/>
        </w:rPr>
      </w:pPr>
      <w:r>
        <w:rPr>
          <w:spacing w:val="-3"/>
          <w:szCs w:val="21"/>
        </w:rPr>
        <mc:AlternateContent>
          <mc:Choice Requires="wps">
            <w:drawing>
              <wp:anchor distT="0" distB="0" distL="114300" distR="114300" simplePos="0" relativeHeight="251675648" behindDoc="0" locked="0" layoutInCell="1" allowOverlap="1">
                <wp:simplePos x="0" y="0"/>
                <wp:positionH relativeFrom="column">
                  <wp:posOffset>781050</wp:posOffset>
                </wp:positionH>
                <wp:positionV relativeFrom="paragraph">
                  <wp:posOffset>82550</wp:posOffset>
                </wp:positionV>
                <wp:extent cx="781050" cy="349250"/>
                <wp:effectExtent l="0" t="0" r="19050" b="12700"/>
                <wp:wrapNone/>
                <wp:docPr id="1279203551"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69A083">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整机包装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61.5pt;margin-top:6.5pt;height:27.5pt;width:61.5pt;z-index:251675648;v-text-anchor:middle;mso-width-relative:page;mso-height-relative:page;" fillcolor="#DAE3F3 [660]" filled="t" stroked="t" coordsize="21600,21600" arcsize="0.166666666666667" o:gfxdata="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J8AeOPVAAAACQEAAA8AAAAAAAAAAQAgAAAAIgAA&#10;AGRycy9kb3ducmV2LnhtbFBLAQIUABQAAAAIAIdO4kAkjHybtgIAAG8FAAAOAAAAAAAAAAEAIAAA&#10;ACQBAABkcnMvZTJvRG9jLnhtbFBLBQYAAAAABgAGAFkBAABMBgAAAAA=&#10;">
                <v:fill on="t" focussize="0,0"/>
                <v:stroke weight="1pt" color="#172C51 [3204]" miterlimit="8" joinstyle="miter"/>
                <v:imagedata o:title=""/>
                <o:lock v:ext="edit" aspectratio="f"/>
                <v:textbox>
                  <w:txbxContent>
                    <w:p w14:paraId="6D69A083">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整机包装</w:t>
                      </w:r>
                    </w:p>
                  </w:txbxContent>
                </v:textbox>
              </v:roundrect>
            </w:pict>
          </mc:Fallback>
        </mc:AlternateContent>
      </w:r>
      <w:r>
        <w:rPr>
          <w:spacing w:val="-3"/>
          <w:szCs w:val="21"/>
        </w:rPr>
        <mc:AlternateContent>
          <mc:Choice Requires="wps">
            <w:drawing>
              <wp:anchor distT="0" distB="0" distL="114300" distR="114300" simplePos="0" relativeHeight="251670528" behindDoc="0" locked="0" layoutInCell="1" allowOverlap="1">
                <wp:simplePos x="0" y="0"/>
                <wp:positionH relativeFrom="column">
                  <wp:posOffset>4191000</wp:posOffset>
                </wp:positionH>
                <wp:positionV relativeFrom="paragraph">
                  <wp:posOffset>82550</wp:posOffset>
                </wp:positionV>
                <wp:extent cx="781050" cy="349250"/>
                <wp:effectExtent l="0" t="0" r="19050" b="12700"/>
                <wp:wrapNone/>
                <wp:docPr id="2120466846"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7167E0">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风阀检测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330pt;margin-top:6.5pt;height:27.5pt;width:61.5pt;z-index:251670528;v-text-anchor:middle;mso-width-relative:page;mso-height-relative:page;" fillcolor="#DAE3F3 [660]" filled="t" stroked="t" coordsize="21600,21600" arcsize="0.166666666666667" o:gfxdata="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P4ckO1QAAAAkBAAAPAAAAAAAAAAEAIAAAACIA&#10;AABkcnMvZG93bnJldi54bWxQSwECFAAUAAAACACHTuJA+Uh8u7cCAABvBQAADgAAAAAAAAABACAA&#10;AAAkAQAAZHJzL2Uyb0RvYy54bWxQSwUGAAAAAAYABgBZAQAATQYAAAAA&#10;">
                <v:fill on="t" focussize="0,0"/>
                <v:stroke weight="1pt" color="#172C51 [3204]" miterlimit="8" joinstyle="miter"/>
                <v:imagedata o:title=""/>
                <o:lock v:ext="edit" aspectratio="f"/>
                <v:textbox>
                  <w:txbxContent>
                    <w:p w14:paraId="327167E0">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风阀检测</w:t>
                      </w:r>
                    </w:p>
                  </w:txbxContent>
                </v:textbox>
              </v:roundrect>
            </w:pict>
          </mc:Fallback>
        </mc:AlternateContent>
      </w:r>
    </w:p>
    <w:p w14:paraId="552E2BA2">
      <w:pPr>
        <w:spacing w:before="198" w:line="222" w:lineRule="auto"/>
        <w:ind w:left="3"/>
        <w:jc w:val="center"/>
        <w:rPr>
          <w:rFonts w:eastAsia="黑体"/>
          <w:spacing w:val="-3"/>
          <w:szCs w:val="21"/>
        </w:rPr>
      </w:pPr>
      <w:r>
        <w:rPr>
          <w:spacing w:val="-3"/>
          <w:szCs w:val="21"/>
        </w:rPr>
        <mc:AlternateContent>
          <mc:Choice Requires="wps">
            <w:drawing>
              <wp:anchor distT="0" distB="0" distL="114300" distR="114300" simplePos="0" relativeHeight="251685888" behindDoc="0" locked="0" layoutInCell="1" allowOverlap="1">
                <wp:simplePos x="0" y="0"/>
                <wp:positionH relativeFrom="column">
                  <wp:posOffset>1150620</wp:posOffset>
                </wp:positionH>
                <wp:positionV relativeFrom="paragraph">
                  <wp:posOffset>109855</wp:posOffset>
                </wp:positionV>
                <wp:extent cx="0" cy="196850"/>
                <wp:effectExtent l="76200" t="38100" r="57150" b="12700"/>
                <wp:wrapNone/>
                <wp:docPr id="393376433" name="直接箭头连接符 36"/>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6" o:spid="_x0000_s1026" o:spt="32" type="#_x0000_t32" style="position:absolute;left:0pt;flip:y;margin-left:90.6pt;margin-top:8.65pt;height:15.5pt;width:0pt;z-index:251685888;mso-width-relative:page;mso-height-relative:page;" filled="f" stroked="t" coordsize="21600,21600" o:gfxdata="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c5YC9YAAAAJAQAADwAA&#10;AAAAAAABACAAAAAiAAAAZHJzL2Rvd25yZXYueG1sUEsBAhQAFAAAAAgAh07iQDEAqlYYAgAA8wMA&#10;AA4AAAAAAAAAAQAgAAAAJQEAAGRycy9lMm9Eb2MueG1sUEsFBgAAAAAGAAYAWQEAAK8FA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81792" behindDoc="0" locked="0" layoutInCell="1" allowOverlap="1">
                <wp:simplePos x="0" y="0"/>
                <wp:positionH relativeFrom="column">
                  <wp:posOffset>4573270</wp:posOffset>
                </wp:positionH>
                <wp:positionV relativeFrom="paragraph">
                  <wp:posOffset>109855</wp:posOffset>
                </wp:positionV>
                <wp:extent cx="0" cy="196850"/>
                <wp:effectExtent l="76200" t="0" r="57150" b="50800"/>
                <wp:wrapNone/>
                <wp:docPr id="1841899459" name="直接箭头连接符 32"/>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2" o:spid="_x0000_s1026" o:spt="32" type="#_x0000_t32" style="position:absolute;left:0pt;margin-left:360.1pt;margin-top:8.65pt;height:15.5pt;width:0pt;z-index:251681792;mso-width-relative:page;mso-height-relative:page;" filled="f" stroked="t" coordsize="21600,21600" o:gfxdata="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SKp8TXAAAACQEAAA8AAAAAAAAA&#10;AQAgAAAAIgAAAGRycy9kb3ducmV2LnhtbFBLAQIUABQAAAAIAIdO4kAQOJ3wEgIAAOoDAAAOAAAA&#10;AAAAAAEAIAAAACYBAABkcnMvZTJvRG9jLnhtbFBLBQYAAAAABgAGAFkBAACqBQAAAAA=&#10;">
                <v:fill on="f" focussize="0,0"/>
                <v:stroke weight="0.5pt" color="#4472C4 [3204]" miterlimit="8" joinstyle="miter" endarrow="block"/>
                <v:imagedata o:title=""/>
                <o:lock v:ext="edit" aspectratio="f"/>
              </v:shape>
            </w:pict>
          </mc:Fallback>
        </mc:AlternateContent>
      </w:r>
      <w:r>
        <w:rPr>
          <w:spacing w:val="-3"/>
          <w:szCs w:val="21"/>
        </w:rPr>
        <mc:AlternateContent>
          <mc:Choice Requires="wps">
            <w:drawing>
              <wp:anchor distT="0" distB="0" distL="114300" distR="114300" simplePos="0" relativeHeight="251673600" behindDoc="0" locked="0" layoutInCell="1" allowOverlap="1">
                <wp:simplePos x="0" y="0"/>
                <wp:positionH relativeFrom="column">
                  <wp:posOffset>1968500</wp:posOffset>
                </wp:positionH>
                <wp:positionV relativeFrom="paragraph">
                  <wp:posOffset>311150</wp:posOffset>
                </wp:positionV>
                <wp:extent cx="781050" cy="349250"/>
                <wp:effectExtent l="0" t="0" r="19050" b="12700"/>
                <wp:wrapNone/>
                <wp:docPr id="33468804"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96F07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安检、商检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155pt;margin-top:24.5pt;height:27.5pt;width:61.5pt;z-index:251673600;v-text-anchor:middle;mso-width-relative:page;mso-height-relative:page;" fillcolor="#DAE3F3 [660]" filled="t" stroked="t" coordsize="21600,21600" arcsize="0.166666666666667" o:gfxdata="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O70vknXAAAACgEAAA8AAAAAAAAAAQAgAAAA&#10;IgAAAGRycy9kb3ducmV2LnhtbFBLAQIUABQAAAAIAIdO4kBvbUv/twIAAG0FAAAOAAAAAAAAAAEA&#10;IAAAACYBAABkcnMvZTJvRG9jLnhtbFBLBQYAAAAABgAGAFkBAABPBgAAAAA=&#10;">
                <v:fill on="t" focussize="0,0"/>
                <v:stroke weight="1pt" color="#172C51 [3204]" miterlimit="8" joinstyle="miter"/>
                <v:imagedata o:title=""/>
                <o:lock v:ext="edit" aspectratio="f"/>
                <v:textbox>
                  <w:txbxContent>
                    <w:p w14:paraId="5796F071">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安检、商检</w:t>
                      </w:r>
                    </w:p>
                  </w:txbxContent>
                </v:textbox>
              </v:roundrect>
            </w:pict>
          </mc:Fallback>
        </mc:AlternateContent>
      </w:r>
      <w:r>
        <w:rPr>
          <w:spacing w:val="-3"/>
          <w:szCs w:val="21"/>
        </w:rPr>
        <mc:AlternateContent>
          <mc:Choice Requires="wps">
            <w:drawing>
              <wp:anchor distT="0" distB="0" distL="114300" distR="114300" simplePos="0" relativeHeight="251672576" behindDoc="0" locked="0" layoutInCell="1" allowOverlap="1">
                <wp:simplePos x="0" y="0"/>
                <wp:positionH relativeFrom="column">
                  <wp:posOffset>3105150</wp:posOffset>
                </wp:positionH>
                <wp:positionV relativeFrom="paragraph">
                  <wp:posOffset>311150</wp:posOffset>
                </wp:positionV>
                <wp:extent cx="781050" cy="349250"/>
                <wp:effectExtent l="0" t="0" r="19050" b="12700"/>
                <wp:wrapNone/>
                <wp:docPr id="1734616726"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CB6916">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芯体安装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244.5pt;margin-top:24.5pt;height:27.5pt;width:61.5pt;z-index:251672576;v-text-anchor:middle;mso-width-relative:page;mso-height-relative:page;" fillcolor="#DAE3F3 [660]" filled="t" stroked="t" coordsize="21600,21600" arcsize="0.166666666666667" o:gfxdata="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CqrllzXAAAACgEAAA8AAAAAAAAAAQAgAAAA&#10;IgAAAGRycy9kb3ducmV2LnhtbFBLAQIUABQAAAAIAIdO4kAdbDkZtwIAAG8FAAAOAAAAAAAAAAEA&#10;IAAAACYBAABkcnMvZTJvRG9jLnhtbFBLBQYAAAAABgAGAFkBAABPBgAAAAA=&#10;">
                <v:fill on="t" focussize="0,0"/>
                <v:stroke weight="1pt" color="#172C51 [3204]" miterlimit="8" joinstyle="miter"/>
                <v:imagedata o:title=""/>
                <o:lock v:ext="edit" aspectratio="f"/>
                <v:textbox>
                  <w:txbxContent>
                    <w:p w14:paraId="2BCB6916">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芯体安装</w:t>
                      </w:r>
                    </w:p>
                  </w:txbxContent>
                </v:textbox>
              </v:roundrect>
            </w:pict>
          </mc:Fallback>
        </mc:AlternateContent>
      </w:r>
      <w:r>
        <w:rPr>
          <w:spacing w:val="-3"/>
          <w:szCs w:val="21"/>
        </w:rPr>
        <mc:AlternateContent>
          <mc:Choice Requires="wps">
            <w:drawing>
              <wp:anchor distT="0" distB="0" distL="114300" distR="114300" simplePos="0" relativeHeight="251674624" behindDoc="0" locked="0" layoutInCell="1" allowOverlap="1">
                <wp:simplePos x="0" y="0"/>
                <wp:positionH relativeFrom="column">
                  <wp:posOffset>781050</wp:posOffset>
                </wp:positionH>
                <wp:positionV relativeFrom="paragraph">
                  <wp:posOffset>304800</wp:posOffset>
                </wp:positionV>
                <wp:extent cx="781050" cy="349250"/>
                <wp:effectExtent l="0" t="0" r="19050" b="12700"/>
                <wp:wrapNone/>
                <wp:docPr id="769063733"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3BDF67">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外观检查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61.5pt;margin-top:24pt;height:27.5pt;width:61.5pt;z-index:251674624;v-text-anchor:middle;mso-width-relative:page;mso-height-relative:page;" fillcolor="#DAE3F3 [660]" filled="t" stroked="t" coordsize="21600,21600" arcsize="0.166666666666667" o:gfxdata="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Wp9vC1QAAAAoBAAAPAAAAAAAAAAEAIAAAACIA&#10;AABkcnMvZG93bnJldi54bWxQSwECFAAUAAAACACHTuJAyTtqlrcCAABuBQAADgAAAAAAAAABACAA&#10;AAAkAQAAZHJzL2Uyb0RvYy54bWxQSwUGAAAAAAYABgBZAQAATQYAAAAA&#10;">
                <v:fill on="t" focussize="0,0"/>
                <v:stroke weight="1pt" color="#172C51 [3204]" miterlimit="8" joinstyle="miter"/>
                <v:imagedata o:title=""/>
                <o:lock v:ext="edit" aspectratio="f"/>
                <v:textbox>
                  <w:txbxContent>
                    <w:p w14:paraId="313BDF67">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外观检查</w:t>
                      </w:r>
                    </w:p>
                  </w:txbxContent>
                </v:textbox>
              </v:roundrect>
            </w:pict>
          </mc:Fallback>
        </mc:AlternateContent>
      </w:r>
      <w:r>
        <w:rPr>
          <w:spacing w:val="-3"/>
          <w:szCs w:val="21"/>
        </w:rPr>
        <mc:AlternateContent>
          <mc:Choice Requires="wps">
            <w:drawing>
              <wp:anchor distT="0" distB="0" distL="114300" distR="114300" simplePos="0" relativeHeight="251671552" behindDoc="0" locked="0" layoutInCell="1" allowOverlap="1">
                <wp:simplePos x="0" y="0"/>
                <wp:positionH relativeFrom="column">
                  <wp:posOffset>4191000</wp:posOffset>
                </wp:positionH>
                <wp:positionV relativeFrom="paragraph">
                  <wp:posOffset>311150</wp:posOffset>
                </wp:positionV>
                <wp:extent cx="781050" cy="349250"/>
                <wp:effectExtent l="0" t="0" r="19050" b="12700"/>
                <wp:wrapNone/>
                <wp:docPr id="1704994031" name="矩形: 圆角 26"/>
                <wp:cNvGraphicFramePr/>
                <a:graphic xmlns:a="http://schemas.openxmlformats.org/drawingml/2006/main">
                  <a:graphicData uri="http://schemas.microsoft.com/office/word/2010/wordprocessingShape">
                    <wps:wsp>
                      <wps:cNvSpPr/>
                      <wps:spPr>
                        <a:xfrm>
                          <a:off x="0" y="0"/>
                          <a:ext cx="781050" cy="3492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A2AF55">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三合一传感</w:t>
                            </w:r>
                          </w:p>
                          <w:p w14:paraId="306F633E">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26" o:spid="_x0000_s1026" o:spt="2" style="position:absolute;left:0pt;margin-left:330pt;margin-top:24.5pt;height:27.5pt;width:61.5pt;z-index:251671552;v-text-anchor:middle;mso-width-relative:page;mso-height-relative:page;" fillcolor="#DAE3F3 [660]" filled="t" stroked="t" coordsize="21600,21600" arcsize="0.166666666666667" o:gfxdata="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Up8pKNgAAAAKAQAADwAAAAAAAAABACAA&#10;AAAiAAAAZHJzL2Rvd25yZXYueG1sUEsBAhQAFAAAAAgAh07iQLcCgam4AgAAbwUAAA4AAAAAAAAA&#10;AQAgAAAAJwEAAGRycy9lMm9Eb2MueG1sUEsFBgAAAAAGAAYAWQEAAFEGAAAAAA==&#10;">
                <v:fill on="t" focussize="0,0"/>
                <v:stroke weight="1pt" color="#172C51 [3204]" miterlimit="8" joinstyle="miter"/>
                <v:imagedata o:title=""/>
                <o:lock v:ext="edit" aspectratio="f"/>
                <v:textbox>
                  <w:txbxContent>
                    <w:p w14:paraId="66A2AF55">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三合一传感</w:t>
                      </w:r>
                    </w:p>
                    <w:p w14:paraId="306F633E">
                      <w:pPr>
                        <w:spacing w:line="140" w:lineRule="exact"/>
                        <w:jc w:val="center"/>
                        <w:rPr>
                          <w:color w:val="000000" w:themeColor="text1"/>
                          <w:sz w:val="13"/>
                          <w:szCs w:val="16"/>
                          <w14:textFill>
                            <w14:solidFill>
                              <w14:schemeClr w14:val="tx1"/>
                            </w14:solidFill>
                          </w14:textFill>
                        </w:rPr>
                      </w:pPr>
                      <w:r>
                        <w:rPr>
                          <w:rFonts w:hint="eastAsia"/>
                          <w:color w:val="000000" w:themeColor="text1"/>
                          <w:sz w:val="13"/>
                          <w:szCs w:val="16"/>
                          <w14:textFill>
                            <w14:solidFill>
                              <w14:schemeClr w14:val="tx1"/>
                            </w14:solidFill>
                          </w14:textFill>
                        </w:rPr>
                        <w:t>安装</w:t>
                      </w:r>
                    </w:p>
                  </w:txbxContent>
                </v:textbox>
              </v:roundrect>
            </w:pict>
          </mc:Fallback>
        </mc:AlternateContent>
      </w:r>
    </w:p>
    <w:p w14:paraId="19000FF8">
      <w:pPr>
        <w:spacing w:before="198" w:line="222" w:lineRule="auto"/>
        <w:ind w:left="3"/>
        <w:jc w:val="center"/>
        <w:rPr>
          <w:rFonts w:eastAsia="黑体"/>
          <w:spacing w:val="-3"/>
          <w:szCs w:val="21"/>
        </w:rPr>
      </w:pPr>
      <w:r>
        <w:rPr>
          <w:rFonts w:eastAsia="黑体"/>
          <w:spacing w:val="-3"/>
          <w:szCs w:val="21"/>
        </w:rPr>
        <mc:AlternateContent>
          <mc:Choice Requires="wps">
            <w:drawing>
              <wp:anchor distT="0" distB="0" distL="114300" distR="114300" simplePos="0" relativeHeight="251684864" behindDoc="0" locked="0" layoutInCell="1" allowOverlap="1">
                <wp:simplePos x="0" y="0"/>
                <wp:positionH relativeFrom="column">
                  <wp:posOffset>1563370</wp:posOffset>
                </wp:positionH>
                <wp:positionV relativeFrom="paragraph">
                  <wp:posOffset>147955</wp:posOffset>
                </wp:positionV>
                <wp:extent cx="406400" cy="0"/>
                <wp:effectExtent l="38100" t="76200" r="0" b="95250"/>
                <wp:wrapNone/>
                <wp:docPr id="711206934" name="直接箭头连接符 35"/>
                <wp:cNvGraphicFramePr/>
                <a:graphic xmlns:a="http://schemas.openxmlformats.org/drawingml/2006/main">
                  <a:graphicData uri="http://schemas.microsoft.com/office/word/2010/wordprocessingShape">
                    <wps:wsp>
                      <wps:cNvCnPr/>
                      <wps:spPr>
                        <a:xfrm flipH="1">
                          <a:off x="0" y="0"/>
                          <a:ext cx="406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5" o:spid="_x0000_s1026" o:spt="32" type="#_x0000_t32" style="position:absolute;left:0pt;flip:x;margin-left:123.1pt;margin-top:11.65pt;height:0pt;width:32pt;z-index:251684864;mso-width-relative:page;mso-height-relative:page;" filled="f" stroked="t" coordsize="21600,21600" o:gfxdata="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lFxU9YAAAAJAQAADwAA&#10;AAAAAAABACAAAAAiAAAAZHJzL2Rvd25yZXYueG1sUEsBAhQAFAAAAAgAh07iQAOlIFQYAgAA8wMA&#10;AA4AAAAAAAAAAQAgAAAAJQEAAGRycy9lMm9Eb2MueG1sUEsFBgAAAAAGAAYAWQEAAK8FAAAAAA==&#10;">
                <v:fill on="f" focussize="0,0"/>
                <v:stroke weight="0.5pt" color="#4472C4 [3204]" miterlimit="8" joinstyle="miter" endarrow="block"/>
                <v:imagedata o:title=""/>
                <o:lock v:ext="edit" aspectratio="f"/>
              </v:shape>
            </w:pict>
          </mc:Fallback>
        </mc:AlternateContent>
      </w:r>
      <w:r>
        <w:rPr>
          <w:rFonts w:eastAsia="黑体"/>
          <w:spacing w:val="-3"/>
          <w:szCs w:val="21"/>
        </w:rPr>
        <mc:AlternateContent>
          <mc:Choice Requires="wps">
            <w:drawing>
              <wp:anchor distT="0" distB="0" distL="114300" distR="114300" simplePos="0" relativeHeight="251683840" behindDoc="0" locked="0" layoutInCell="1" allowOverlap="1">
                <wp:simplePos x="0" y="0"/>
                <wp:positionH relativeFrom="column">
                  <wp:posOffset>2750820</wp:posOffset>
                </wp:positionH>
                <wp:positionV relativeFrom="paragraph">
                  <wp:posOffset>147955</wp:posOffset>
                </wp:positionV>
                <wp:extent cx="355600" cy="0"/>
                <wp:effectExtent l="38100" t="76200" r="0" b="95250"/>
                <wp:wrapNone/>
                <wp:docPr id="1013631390" name="直接箭头连接符 34"/>
                <wp:cNvGraphicFramePr/>
                <a:graphic xmlns:a="http://schemas.openxmlformats.org/drawingml/2006/main">
                  <a:graphicData uri="http://schemas.microsoft.com/office/word/2010/wordprocessingShape">
                    <wps:wsp>
                      <wps:cNvCnPr/>
                      <wps:spPr>
                        <a:xfrm flipH="1">
                          <a:off x="0" y="0"/>
                          <a:ext cx="355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4" o:spid="_x0000_s1026" o:spt="32" type="#_x0000_t32" style="position:absolute;left:0pt;flip:x;margin-left:216.6pt;margin-top:11.65pt;height:0pt;width:28pt;z-index:251683840;mso-width-relative:page;mso-height-relative:page;" filled="f" stroked="t" coordsize="21600,21600" o:gfxdata="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Yulb9YAAAAJAQAADwAA&#10;AAAAAAABACAAAAAiAAAAZHJzL2Rvd25yZXYueG1sUEsBAhQAFAAAAAgAh07iQEm1YYYYAgAA9AMA&#10;AA4AAAAAAAAAAQAgAAAAJQEAAGRycy9lMm9Eb2MueG1sUEsFBgAAAAAGAAYAWQEAAK8FAAAAAA==&#10;">
                <v:fill on="f" focussize="0,0"/>
                <v:stroke weight="0.5pt" color="#4472C4 [3204]" miterlimit="8" joinstyle="miter" endarrow="block"/>
                <v:imagedata o:title=""/>
                <o:lock v:ext="edit" aspectratio="f"/>
              </v:shape>
            </w:pict>
          </mc:Fallback>
        </mc:AlternateContent>
      </w:r>
      <w:r>
        <w:rPr>
          <w:rFonts w:eastAsia="黑体"/>
          <w:spacing w:val="-3"/>
          <w:szCs w:val="21"/>
        </w:rPr>
        <mc:AlternateContent>
          <mc:Choice Requires="wps">
            <w:drawing>
              <wp:anchor distT="0" distB="0" distL="114300" distR="114300" simplePos="0" relativeHeight="251682816" behindDoc="0" locked="0" layoutInCell="1" allowOverlap="1">
                <wp:simplePos x="0" y="0"/>
                <wp:positionH relativeFrom="column">
                  <wp:posOffset>3887470</wp:posOffset>
                </wp:positionH>
                <wp:positionV relativeFrom="paragraph">
                  <wp:posOffset>147955</wp:posOffset>
                </wp:positionV>
                <wp:extent cx="304800" cy="0"/>
                <wp:effectExtent l="38100" t="76200" r="0" b="95250"/>
                <wp:wrapNone/>
                <wp:docPr id="1223986062" name="直接箭头连接符 33"/>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3" o:spid="_x0000_s1026" o:spt="32" type="#_x0000_t32" style="position:absolute;left:0pt;flip:x;margin-left:306.1pt;margin-top:11.65pt;height:0pt;width:24pt;z-index:251682816;mso-width-relative:page;mso-height-relative:page;" filled="f" stroked="t" coordsize="21600,21600" o:gfxdata="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RDSq1gAAAAkBAAAPAAAA&#10;AAAAAAEAIAAAACIAAABkcnMvZG93bnJldi54bWxQSwECFAAUAAAACACHTuJA/fwFJBcCAAD0AwAA&#10;DgAAAAAAAAABACAAAAAlAQAAZHJzL2Uyb0RvYy54bWxQSwUGAAAAAAYABgBZAQAArgUAAAAA&#10;">
                <v:fill on="f" focussize="0,0"/>
                <v:stroke weight="0.5pt" color="#4472C4 [3204]" miterlimit="8" joinstyle="miter" endarrow="block"/>
                <v:imagedata o:title=""/>
                <o:lock v:ext="edit" aspectratio="f"/>
              </v:shape>
            </w:pict>
          </mc:Fallback>
        </mc:AlternateContent>
      </w:r>
    </w:p>
    <w:p w14:paraId="4C3EFAFC">
      <w:pPr>
        <w:spacing w:before="198" w:line="222" w:lineRule="auto"/>
        <w:ind w:left="3"/>
        <w:jc w:val="center"/>
        <w:rPr>
          <w:rFonts w:eastAsia="黑体"/>
          <w:spacing w:val="-3"/>
          <w:szCs w:val="21"/>
        </w:rPr>
      </w:pPr>
      <w:r>
        <w:rPr>
          <w:rFonts w:eastAsia="黑体"/>
          <w:spacing w:val="-3"/>
          <w:szCs w:val="21"/>
        </w:rPr>
        <w:t>图</w:t>
      </w:r>
      <w:r>
        <w:rPr>
          <w:spacing w:val="-3"/>
          <w:szCs w:val="21"/>
        </w:rPr>
        <w:t>E</w:t>
      </w:r>
      <w:r>
        <w:rPr>
          <w:rFonts w:eastAsia="黑体"/>
          <w:spacing w:val="-3"/>
          <w:szCs w:val="21"/>
        </w:rPr>
        <w:t>.1 热回收新风机组生产工艺流程图</w:t>
      </w:r>
    </w:p>
    <w:p w14:paraId="7DAD74AF">
      <w:pPr>
        <w:spacing w:line="360" w:lineRule="auto"/>
        <w:ind w:left="6"/>
        <w:rPr>
          <w:b/>
          <w:bCs/>
          <w:spacing w:val="-3"/>
          <w:szCs w:val="21"/>
        </w:rPr>
      </w:pPr>
      <w:r>
        <w:rPr>
          <w:b/>
          <w:bCs/>
          <w:spacing w:val="-3"/>
          <w:szCs w:val="21"/>
        </w:rPr>
        <w:t>E.4 数据收集</w:t>
      </w:r>
    </w:p>
    <w:p w14:paraId="0908EB91">
      <w:pPr>
        <w:spacing w:line="360" w:lineRule="auto"/>
        <w:ind w:left="6"/>
        <w:rPr>
          <w:spacing w:val="-3"/>
          <w:szCs w:val="21"/>
        </w:rPr>
      </w:pPr>
      <w:r>
        <w:rPr>
          <w:spacing w:val="-3"/>
          <w:szCs w:val="21"/>
        </w:rPr>
        <w:t>E.4.1 原材料获取阶段的数据收集</w:t>
      </w:r>
    </w:p>
    <w:p w14:paraId="16F13FF4">
      <w:pPr>
        <w:spacing w:line="360" w:lineRule="auto"/>
        <w:ind w:left="6"/>
        <w:rPr>
          <w:spacing w:val="-3"/>
          <w:szCs w:val="21"/>
        </w:rPr>
      </w:pPr>
      <w:r>
        <w:rPr>
          <w:spacing w:val="-3"/>
          <w:szCs w:val="21"/>
        </w:rPr>
        <w:t xml:space="preserve">        如表E.1和表E.2所示，原材料获取阶段收集的数据包括单台热回收新风机组所用主要原材料或零部件的重量、零部件的各类原材料占比（由于原材料供应商难以提供零部件的碳足迹且在国家相关碳足迹数据库中无法获得零部件的碳足迹，因此由零部件供应商提供了零部件的各类原材料占比）、原材料或零部件的运输数据、原材料的温室气体排放因子、运输方式的温室气体排放因子等数据。</w:t>
      </w:r>
    </w:p>
    <w:p w14:paraId="18A7B2D4">
      <w:pPr>
        <w:spacing w:before="198" w:line="222" w:lineRule="auto"/>
        <w:ind w:left="3"/>
        <w:jc w:val="center"/>
        <w:rPr>
          <w:rFonts w:eastAsia="黑体"/>
          <w:spacing w:val="-3"/>
          <w:szCs w:val="21"/>
        </w:rPr>
      </w:pPr>
      <w:r>
        <w:rPr>
          <w:rFonts w:eastAsia="黑体"/>
          <w:spacing w:val="-3"/>
          <w:szCs w:val="21"/>
        </w:rPr>
        <w:t>表E.1 原材料获取阶段数据收集</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9"/>
        <w:gridCol w:w="730"/>
        <w:gridCol w:w="730"/>
        <w:gridCol w:w="2036"/>
        <w:gridCol w:w="2028"/>
        <w:gridCol w:w="1219"/>
        <w:gridCol w:w="845"/>
      </w:tblGrid>
      <w:tr w14:paraId="73D9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Merge w:val="restart"/>
            <w:vAlign w:val="center"/>
          </w:tcPr>
          <w:p w14:paraId="0B84832C">
            <w:pPr>
              <w:pStyle w:val="28"/>
              <w:tabs>
                <w:tab w:val="clear" w:pos="4201"/>
                <w:tab w:val="clear" w:pos="9298"/>
              </w:tabs>
              <w:ind w:firstLine="0" w:firstLineChars="0"/>
              <w:jc w:val="center"/>
              <w:rPr>
                <w:rFonts w:ascii="Times New Roman"/>
                <w:b/>
                <w:bCs/>
                <w:szCs w:val="18"/>
              </w:rPr>
            </w:pPr>
            <w:r>
              <w:rPr>
                <w:rFonts w:ascii="Times New Roman"/>
                <w:b/>
                <w:bCs/>
                <w:szCs w:val="18"/>
              </w:rPr>
              <w:t>原材料名称</w:t>
            </w:r>
          </w:p>
        </w:tc>
        <w:tc>
          <w:tcPr>
            <w:tcW w:w="730" w:type="dxa"/>
            <w:vMerge w:val="restart"/>
            <w:vAlign w:val="center"/>
          </w:tcPr>
          <w:p w14:paraId="75A8E8E7">
            <w:pPr>
              <w:pStyle w:val="28"/>
              <w:tabs>
                <w:tab w:val="clear" w:pos="4201"/>
                <w:tab w:val="clear" w:pos="9298"/>
              </w:tabs>
              <w:ind w:firstLine="0" w:firstLineChars="0"/>
              <w:jc w:val="center"/>
              <w:rPr>
                <w:rFonts w:ascii="Times New Roman"/>
                <w:b/>
                <w:bCs/>
                <w:szCs w:val="18"/>
              </w:rPr>
            </w:pPr>
            <w:r>
              <w:rPr>
                <w:rFonts w:ascii="Times New Roman"/>
                <w:b/>
                <w:bCs/>
                <w:szCs w:val="18"/>
              </w:rPr>
              <w:t>重量</w:t>
            </w:r>
          </w:p>
        </w:tc>
        <w:tc>
          <w:tcPr>
            <w:tcW w:w="730" w:type="dxa"/>
            <w:vMerge w:val="restart"/>
            <w:vAlign w:val="center"/>
          </w:tcPr>
          <w:p w14:paraId="2ED9F6E3">
            <w:pPr>
              <w:pStyle w:val="28"/>
              <w:ind w:firstLine="0" w:firstLineChars="0"/>
              <w:jc w:val="center"/>
              <w:rPr>
                <w:rFonts w:ascii="Times New Roman"/>
                <w:b/>
                <w:bCs/>
                <w:color w:val="EE0000"/>
                <w:szCs w:val="21"/>
              </w:rPr>
            </w:pPr>
            <w:r>
              <w:rPr>
                <w:rFonts w:ascii="Times New Roman"/>
                <w:b/>
                <w:bCs/>
                <w:szCs w:val="18"/>
              </w:rPr>
              <w:t>单位</w:t>
            </w:r>
          </w:p>
        </w:tc>
        <w:tc>
          <w:tcPr>
            <w:tcW w:w="2036" w:type="dxa"/>
            <w:vMerge w:val="restart"/>
            <w:vAlign w:val="center"/>
          </w:tcPr>
          <w:p w14:paraId="1114F78F">
            <w:pPr>
              <w:pStyle w:val="28"/>
              <w:tabs>
                <w:tab w:val="clear" w:pos="4201"/>
                <w:tab w:val="clear" w:pos="9298"/>
              </w:tabs>
              <w:ind w:firstLine="0" w:firstLineChars="0"/>
              <w:jc w:val="center"/>
              <w:rPr>
                <w:rFonts w:ascii="Times New Roman"/>
                <w:b/>
                <w:bCs/>
                <w:szCs w:val="18"/>
              </w:rPr>
            </w:pPr>
            <w:r>
              <w:rPr>
                <w:rFonts w:ascii="Times New Roman"/>
                <w:b/>
                <w:bCs/>
                <w:szCs w:val="21"/>
              </w:rPr>
              <w:t>零部件拆分的各类原材料占比</w:t>
            </w:r>
          </w:p>
        </w:tc>
        <w:tc>
          <w:tcPr>
            <w:tcW w:w="3247" w:type="dxa"/>
            <w:gridSpan w:val="2"/>
            <w:vAlign w:val="center"/>
          </w:tcPr>
          <w:p w14:paraId="5E4AC96B">
            <w:pPr>
              <w:pStyle w:val="28"/>
              <w:tabs>
                <w:tab w:val="clear" w:pos="4201"/>
                <w:tab w:val="clear" w:pos="9298"/>
              </w:tabs>
              <w:ind w:firstLine="0" w:firstLineChars="0"/>
              <w:jc w:val="center"/>
              <w:rPr>
                <w:rFonts w:ascii="Times New Roman"/>
                <w:b/>
                <w:bCs/>
                <w:szCs w:val="18"/>
              </w:rPr>
            </w:pPr>
            <w:r>
              <w:rPr>
                <w:rFonts w:ascii="Times New Roman"/>
                <w:b/>
                <w:bCs/>
                <w:szCs w:val="18"/>
              </w:rPr>
              <w:t>运输过程信息</w:t>
            </w:r>
          </w:p>
        </w:tc>
        <w:tc>
          <w:tcPr>
            <w:tcW w:w="845" w:type="dxa"/>
            <w:vMerge w:val="restart"/>
            <w:vAlign w:val="center"/>
          </w:tcPr>
          <w:p w14:paraId="761DE4A3">
            <w:pPr>
              <w:pStyle w:val="28"/>
              <w:tabs>
                <w:tab w:val="clear" w:pos="4201"/>
                <w:tab w:val="clear" w:pos="9298"/>
              </w:tabs>
              <w:ind w:firstLine="0" w:firstLineChars="0"/>
              <w:jc w:val="center"/>
              <w:rPr>
                <w:rFonts w:ascii="Times New Roman"/>
                <w:b/>
                <w:bCs/>
                <w:szCs w:val="18"/>
              </w:rPr>
            </w:pPr>
            <w:r>
              <w:rPr>
                <w:rFonts w:ascii="Times New Roman"/>
                <w:b/>
                <w:bCs/>
                <w:szCs w:val="18"/>
              </w:rPr>
              <w:t>数据来源</w:t>
            </w:r>
          </w:p>
        </w:tc>
      </w:tr>
      <w:tr w14:paraId="3696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Merge w:val="continue"/>
            <w:vAlign w:val="center"/>
          </w:tcPr>
          <w:p w14:paraId="6CE3E354">
            <w:pPr>
              <w:pStyle w:val="28"/>
              <w:tabs>
                <w:tab w:val="clear" w:pos="4201"/>
                <w:tab w:val="clear" w:pos="9298"/>
              </w:tabs>
              <w:spacing w:line="360" w:lineRule="auto"/>
              <w:ind w:firstLine="0" w:firstLineChars="0"/>
              <w:jc w:val="center"/>
              <w:rPr>
                <w:rFonts w:ascii="Times New Roman"/>
                <w:b/>
                <w:bCs/>
                <w:szCs w:val="18"/>
              </w:rPr>
            </w:pPr>
          </w:p>
        </w:tc>
        <w:tc>
          <w:tcPr>
            <w:tcW w:w="730" w:type="dxa"/>
            <w:vMerge w:val="continue"/>
            <w:vAlign w:val="center"/>
          </w:tcPr>
          <w:p w14:paraId="7D94F9C9">
            <w:pPr>
              <w:pStyle w:val="28"/>
              <w:tabs>
                <w:tab w:val="clear" w:pos="4201"/>
                <w:tab w:val="clear" w:pos="9298"/>
              </w:tabs>
              <w:spacing w:line="360" w:lineRule="auto"/>
              <w:ind w:firstLine="0" w:firstLineChars="0"/>
              <w:jc w:val="center"/>
              <w:rPr>
                <w:rFonts w:ascii="Times New Roman"/>
                <w:b/>
                <w:bCs/>
                <w:szCs w:val="18"/>
              </w:rPr>
            </w:pPr>
          </w:p>
        </w:tc>
        <w:tc>
          <w:tcPr>
            <w:tcW w:w="730" w:type="dxa"/>
            <w:vMerge w:val="continue"/>
            <w:vAlign w:val="center"/>
          </w:tcPr>
          <w:p w14:paraId="2A4CB69E">
            <w:pPr>
              <w:pStyle w:val="28"/>
              <w:tabs>
                <w:tab w:val="clear" w:pos="4201"/>
                <w:tab w:val="clear" w:pos="9298"/>
              </w:tabs>
              <w:spacing w:line="360" w:lineRule="auto"/>
              <w:ind w:firstLine="0" w:firstLineChars="0"/>
              <w:jc w:val="center"/>
              <w:rPr>
                <w:rFonts w:ascii="Times New Roman"/>
                <w:b/>
                <w:bCs/>
                <w:szCs w:val="18"/>
              </w:rPr>
            </w:pPr>
          </w:p>
        </w:tc>
        <w:tc>
          <w:tcPr>
            <w:tcW w:w="2036" w:type="dxa"/>
            <w:vMerge w:val="continue"/>
          </w:tcPr>
          <w:p w14:paraId="37E0493D">
            <w:pPr>
              <w:pStyle w:val="28"/>
              <w:tabs>
                <w:tab w:val="clear" w:pos="4201"/>
                <w:tab w:val="clear" w:pos="9298"/>
              </w:tabs>
              <w:spacing w:line="360" w:lineRule="auto"/>
              <w:ind w:firstLine="0" w:firstLineChars="0"/>
              <w:jc w:val="center"/>
              <w:rPr>
                <w:rFonts w:ascii="Times New Roman"/>
                <w:b/>
                <w:bCs/>
                <w:szCs w:val="18"/>
              </w:rPr>
            </w:pPr>
          </w:p>
        </w:tc>
        <w:tc>
          <w:tcPr>
            <w:tcW w:w="2028" w:type="dxa"/>
            <w:vAlign w:val="center"/>
          </w:tcPr>
          <w:p w14:paraId="2C743405">
            <w:pPr>
              <w:pStyle w:val="28"/>
              <w:tabs>
                <w:tab w:val="clear" w:pos="4201"/>
                <w:tab w:val="clear" w:pos="9298"/>
              </w:tabs>
              <w:ind w:firstLine="0" w:firstLineChars="0"/>
              <w:jc w:val="center"/>
              <w:rPr>
                <w:rFonts w:ascii="Times New Roman"/>
                <w:b/>
                <w:bCs/>
                <w:szCs w:val="18"/>
              </w:rPr>
            </w:pPr>
            <w:r>
              <w:rPr>
                <w:rFonts w:ascii="Times New Roman"/>
                <w:b/>
                <w:bCs/>
                <w:szCs w:val="18"/>
              </w:rPr>
              <w:t>运输工具</w:t>
            </w:r>
          </w:p>
        </w:tc>
        <w:tc>
          <w:tcPr>
            <w:tcW w:w="1219" w:type="dxa"/>
            <w:tcBorders>
              <w:top w:val="single" w:color="auto" w:sz="4" w:space="0"/>
            </w:tcBorders>
            <w:vAlign w:val="center"/>
          </w:tcPr>
          <w:p w14:paraId="00FC7BDC">
            <w:pPr>
              <w:pStyle w:val="28"/>
              <w:ind w:firstLine="0" w:firstLineChars="0"/>
              <w:jc w:val="center"/>
              <w:rPr>
                <w:rFonts w:ascii="Times New Roman"/>
                <w:b/>
                <w:bCs/>
                <w:szCs w:val="18"/>
              </w:rPr>
            </w:pPr>
            <w:r>
              <w:rPr>
                <w:rFonts w:ascii="Times New Roman"/>
                <w:b/>
                <w:bCs/>
                <w:szCs w:val="18"/>
              </w:rPr>
              <w:t>运输距离（km）</w:t>
            </w:r>
          </w:p>
        </w:tc>
        <w:tc>
          <w:tcPr>
            <w:tcW w:w="845" w:type="dxa"/>
            <w:vMerge w:val="continue"/>
            <w:vAlign w:val="center"/>
          </w:tcPr>
          <w:p w14:paraId="71286ACE">
            <w:pPr>
              <w:pStyle w:val="28"/>
              <w:tabs>
                <w:tab w:val="clear" w:pos="4201"/>
                <w:tab w:val="clear" w:pos="9298"/>
              </w:tabs>
              <w:spacing w:line="360" w:lineRule="auto"/>
              <w:ind w:firstLine="0" w:firstLineChars="0"/>
              <w:jc w:val="center"/>
              <w:rPr>
                <w:rFonts w:ascii="Times New Roman"/>
                <w:b/>
                <w:bCs/>
                <w:szCs w:val="18"/>
              </w:rPr>
            </w:pPr>
          </w:p>
        </w:tc>
      </w:tr>
      <w:tr w14:paraId="68E6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3F9776A1">
            <w:pPr>
              <w:pStyle w:val="28"/>
              <w:tabs>
                <w:tab w:val="clear" w:pos="4201"/>
                <w:tab w:val="clear" w:pos="9298"/>
              </w:tabs>
              <w:ind w:firstLine="0" w:firstLineChars="0"/>
              <w:jc w:val="center"/>
              <w:rPr>
                <w:rFonts w:ascii="Times New Roman"/>
                <w:szCs w:val="18"/>
              </w:rPr>
            </w:pPr>
            <w:r>
              <w:rPr>
                <w:rFonts w:ascii="Times New Roman"/>
                <w:szCs w:val="21"/>
              </w:rPr>
              <w:t>全热芯体</w:t>
            </w:r>
          </w:p>
        </w:tc>
        <w:tc>
          <w:tcPr>
            <w:tcW w:w="730" w:type="dxa"/>
            <w:vAlign w:val="center"/>
          </w:tcPr>
          <w:p w14:paraId="30AED7F4">
            <w:pPr>
              <w:spacing w:line="320" w:lineRule="exact"/>
              <w:jc w:val="center"/>
              <w:rPr>
                <w:rFonts w:ascii="Times New Roman"/>
              </w:rPr>
            </w:pPr>
            <w:r>
              <w:rPr>
                <w:rFonts w:ascii="Times New Roman"/>
                <w:szCs w:val="21"/>
              </w:rPr>
              <w:t>5.2</w:t>
            </w:r>
          </w:p>
        </w:tc>
        <w:tc>
          <w:tcPr>
            <w:tcW w:w="730" w:type="dxa"/>
            <w:vAlign w:val="center"/>
          </w:tcPr>
          <w:p w14:paraId="045FF975">
            <w:pPr>
              <w:spacing w:line="320" w:lineRule="exact"/>
              <w:jc w:val="center"/>
              <w:rPr>
                <w:rFonts w:ascii="Times New Roman"/>
                <w:szCs w:val="21"/>
              </w:rPr>
            </w:pPr>
            <w:r>
              <w:rPr>
                <w:rFonts w:ascii="Times New Roman"/>
              </w:rPr>
              <w:t>kg</w:t>
            </w:r>
          </w:p>
        </w:tc>
        <w:tc>
          <w:tcPr>
            <w:tcW w:w="2036" w:type="dxa"/>
          </w:tcPr>
          <w:p w14:paraId="4A9C11B5">
            <w:pPr>
              <w:spacing w:line="320" w:lineRule="exact"/>
              <w:jc w:val="center"/>
              <w:rPr>
                <w:rFonts w:ascii="Times New Roman"/>
                <w:szCs w:val="21"/>
              </w:rPr>
            </w:pPr>
            <w:r>
              <w:rPr>
                <w:rFonts w:ascii="Times New Roman"/>
                <w:szCs w:val="21"/>
              </w:rPr>
              <w:t>ABS: 95%</w:t>
            </w:r>
          </w:p>
          <w:p w14:paraId="222F6380">
            <w:pPr>
              <w:pStyle w:val="28"/>
              <w:tabs>
                <w:tab w:val="clear" w:pos="4201"/>
                <w:tab w:val="clear" w:pos="9298"/>
              </w:tabs>
              <w:spacing w:line="360" w:lineRule="auto"/>
              <w:ind w:firstLine="0" w:firstLineChars="0"/>
              <w:jc w:val="center"/>
              <w:rPr>
                <w:rFonts w:ascii="Times New Roman"/>
                <w:szCs w:val="18"/>
              </w:rPr>
            </w:pPr>
            <w:r>
              <w:rPr>
                <w:rFonts w:ascii="Times New Roman"/>
                <w:szCs w:val="21"/>
              </w:rPr>
              <w:t>钢：5%</w:t>
            </w:r>
          </w:p>
        </w:tc>
        <w:tc>
          <w:tcPr>
            <w:tcW w:w="2028" w:type="dxa"/>
            <w:vAlign w:val="center"/>
          </w:tcPr>
          <w:p w14:paraId="0F57843B">
            <w:pPr>
              <w:spacing w:line="320" w:lineRule="exact"/>
              <w:rPr>
                <w:rFonts w:ascii="Times New Roman"/>
                <w:bCs/>
                <w:szCs w:val="21"/>
              </w:rPr>
            </w:pPr>
            <w:r>
              <w:rPr>
                <w:rFonts w:ascii="Times New Roman"/>
                <w:bCs/>
                <w:szCs w:val="21"/>
              </w:rPr>
              <w:t>公路运输：</w:t>
            </w:r>
            <w:r>
              <w:rPr>
                <w:rFonts w:ascii="Times New Roman"/>
                <w:szCs w:val="21"/>
              </w:rPr>
              <w:t>柴油货车，载重量15吨</w:t>
            </w:r>
            <w:r>
              <w:rPr>
                <w:rFonts w:ascii="Times New Roman"/>
                <w:bCs/>
                <w:szCs w:val="21"/>
              </w:rPr>
              <w:t xml:space="preserve">  </w:t>
            </w:r>
          </w:p>
        </w:tc>
        <w:tc>
          <w:tcPr>
            <w:tcW w:w="1219" w:type="dxa"/>
            <w:vAlign w:val="center"/>
          </w:tcPr>
          <w:p w14:paraId="2B78826F">
            <w:pPr>
              <w:pStyle w:val="28"/>
              <w:tabs>
                <w:tab w:val="clear" w:pos="4201"/>
                <w:tab w:val="clear" w:pos="9298"/>
              </w:tabs>
              <w:spacing w:line="360" w:lineRule="auto"/>
              <w:ind w:firstLine="0" w:firstLineChars="0"/>
              <w:jc w:val="center"/>
              <w:rPr>
                <w:rFonts w:ascii="Times New Roman"/>
                <w:szCs w:val="18"/>
              </w:rPr>
            </w:pPr>
            <w:r>
              <w:rPr>
                <w:rFonts w:ascii="Times New Roman"/>
                <w:szCs w:val="21"/>
              </w:rPr>
              <w:t>200</w:t>
            </w:r>
          </w:p>
        </w:tc>
        <w:tc>
          <w:tcPr>
            <w:tcW w:w="845" w:type="dxa"/>
            <w:vAlign w:val="center"/>
          </w:tcPr>
          <w:p w14:paraId="49309C3D">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44B9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73BB77AE">
            <w:pPr>
              <w:pStyle w:val="28"/>
              <w:tabs>
                <w:tab w:val="clear" w:pos="4201"/>
                <w:tab w:val="clear" w:pos="9298"/>
              </w:tabs>
              <w:ind w:firstLine="0" w:firstLineChars="0"/>
              <w:jc w:val="center"/>
              <w:rPr>
                <w:rFonts w:ascii="Times New Roman"/>
                <w:szCs w:val="18"/>
              </w:rPr>
            </w:pPr>
            <w:r>
              <w:rPr>
                <w:rFonts w:ascii="Times New Roman"/>
                <w:szCs w:val="21"/>
              </w:rPr>
              <w:t>电机</w:t>
            </w:r>
          </w:p>
        </w:tc>
        <w:tc>
          <w:tcPr>
            <w:tcW w:w="730" w:type="dxa"/>
            <w:vAlign w:val="center"/>
          </w:tcPr>
          <w:p w14:paraId="79EB3443">
            <w:pPr>
              <w:pStyle w:val="28"/>
              <w:tabs>
                <w:tab w:val="clear" w:pos="4201"/>
                <w:tab w:val="clear" w:pos="9298"/>
              </w:tabs>
              <w:spacing w:line="360" w:lineRule="auto"/>
              <w:ind w:firstLine="0" w:firstLineChars="0"/>
              <w:jc w:val="center"/>
              <w:rPr>
                <w:rFonts w:ascii="Times New Roman"/>
                <w:szCs w:val="18"/>
              </w:rPr>
            </w:pPr>
            <w:r>
              <w:rPr>
                <w:rFonts w:ascii="Times New Roman"/>
                <w:szCs w:val="21"/>
              </w:rPr>
              <w:t>2.5</w:t>
            </w:r>
          </w:p>
        </w:tc>
        <w:tc>
          <w:tcPr>
            <w:tcW w:w="730" w:type="dxa"/>
            <w:vAlign w:val="center"/>
          </w:tcPr>
          <w:p w14:paraId="05C00099">
            <w:pPr>
              <w:spacing w:line="320" w:lineRule="exact"/>
              <w:jc w:val="center"/>
              <w:rPr>
                <w:rFonts w:ascii="Times New Roman"/>
                <w:szCs w:val="21"/>
              </w:rPr>
            </w:pPr>
            <w:r>
              <w:rPr>
                <w:rFonts w:ascii="Times New Roman"/>
              </w:rPr>
              <w:t>kg</w:t>
            </w:r>
          </w:p>
        </w:tc>
        <w:tc>
          <w:tcPr>
            <w:tcW w:w="2036" w:type="dxa"/>
          </w:tcPr>
          <w:p w14:paraId="3059CEA3">
            <w:pPr>
              <w:jc w:val="center"/>
              <w:rPr>
                <w:rFonts w:ascii="Times New Roman"/>
                <w:szCs w:val="21"/>
              </w:rPr>
            </w:pPr>
            <w:r>
              <w:rPr>
                <w:rFonts w:ascii="Times New Roman"/>
                <w:szCs w:val="21"/>
              </w:rPr>
              <w:t>铜：40%</w:t>
            </w:r>
          </w:p>
          <w:p w14:paraId="0059011C">
            <w:pPr>
              <w:jc w:val="center"/>
              <w:rPr>
                <w:rFonts w:ascii="Times New Roman"/>
                <w:szCs w:val="21"/>
              </w:rPr>
            </w:pPr>
            <w:r>
              <w:rPr>
                <w:rFonts w:ascii="Times New Roman"/>
                <w:szCs w:val="21"/>
              </w:rPr>
              <w:t>钢：40%</w:t>
            </w:r>
          </w:p>
          <w:p w14:paraId="657252B5">
            <w:pPr>
              <w:pStyle w:val="28"/>
              <w:tabs>
                <w:tab w:val="clear" w:pos="4201"/>
                <w:tab w:val="clear" w:pos="9298"/>
              </w:tabs>
              <w:ind w:firstLine="0" w:firstLineChars="0"/>
              <w:jc w:val="center"/>
              <w:rPr>
                <w:rFonts w:ascii="Times New Roman"/>
                <w:szCs w:val="18"/>
              </w:rPr>
            </w:pPr>
            <w:r>
              <w:rPr>
                <w:rFonts w:ascii="Times New Roman"/>
                <w:szCs w:val="21"/>
              </w:rPr>
              <w:t>塑料：20%</w:t>
            </w:r>
          </w:p>
        </w:tc>
        <w:tc>
          <w:tcPr>
            <w:tcW w:w="2028" w:type="dxa"/>
            <w:vAlign w:val="center"/>
          </w:tcPr>
          <w:p w14:paraId="03ECF090">
            <w:pPr>
              <w:rPr>
                <w:rFonts w:ascii="Times New Roman"/>
                <w:bCs/>
                <w:szCs w:val="21"/>
              </w:rPr>
            </w:pPr>
            <w:r>
              <w:rPr>
                <w:rFonts w:ascii="Times New Roman"/>
                <w:bCs/>
                <w:szCs w:val="21"/>
              </w:rPr>
              <w:t>公路运输：</w:t>
            </w:r>
            <w:r>
              <w:rPr>
                <w:rFonts w:ascii="Times New Roman"/>
                <w:szCs w:val="21"/>
              </w:rPr>
              <w:t>柴油货车，载重量30吨</w:t>
            </w:r>
          </w:p>
        </w:tc>
        <w:tc>
          <w:tcPr>
            <w:tcW w:w="1219" w:type="dxa"/>
            <w:vAlign w:val="center"/>
          </w:tcPr>
          <w:p w14:paraId="33D567C1">
            <w:pPr>
              <w:pStyle w:val="28"/>
              <w:tabs>
                <w:tab w:val="clear" w:pos="4201"/>
                <w:tab w:val="clear" w:pos="9298"/>
              </w:tabs>
              <w:spacing w:line="360" w:lineRule="auto"/>
              <w:ind w:firstLine="0" w:firstLineChars="0"/>
              <w:jc w:val="center"/>
              <w:rPr>
                <w:rFonts w:ascii="Times New Roman"/>
                <w:szCs w:val="18"/>
              </w:rPr>
            </w:pPr>
            <w:r>
              <w:rPr>
                <w:rFonts w:ascii="Times New Roman"/>
                <w:szCs w:val="21"/>
              </w:rPr>
              <w:t>800</w:t>
            </w:r>
          </w:p>
        </w:tc>
        <w:tc>
          <w:tcPr>
            <w:tcW w:w="845" w:type="dxa"/>
            <w:vAlign w:val="center"/>
          </w:tcPr>
          <w:p w14:paraId="1CFA2DBC">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5D79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309" w:type="dxa"/>
            <w:vAlign w:val="center"/>
          </w:tcPr>
          <w:p w14:paraId="10A15728">
            <w:pPr>
              <w:pStyle w:val="28"/>
              <w:tabs>
                <w:tab w:val="clear" w:pos="4201"/>
                <w:tab w:val="clear" w:pos="9298"/>
              </w:tabs>
              <w:ind w:firstLine="0" w:firstLineChars="0"/>
              <w:jc w:val="center"/>
              <w:rPr>
                <w:rFonts w:ascii="Times New Roman"/>
                <w:szCs w:val="18"/>
              </w:rPr>
            </w:pPr>
            <w:r>
              <w:rPr>
                <w:rFonts w:ascii="Times New Roman"/>
                <w:szCs w:val="21"/>
              </w:rPr>
              <w:t>风扇</w:t>
            </w:r>
          </w:p>
        </w:tc>
        <w:tc>
          <w:tcPr>
            <w:tcW w:w="730" w:type="dxa"/>
            <w:vAlign w:val="center"/>
          </w:tcPr>
          <w:p w14:paraId="189957A6">
            <w:pPr>
              <w:pStyle w:val="28"/>
              <w:tabs>
                <w:tab w:val="clear" w:pos="4201"/>
                <w:tab w:val="clear" w:pos="9298"/>
              </w:tabs>
              <w:spacing w:line="360" w:lineRule="auto"/>
              <w:ind w:firstLine="0" w:firstLineChars="0"/>
              <w:jc w:val="center"/>
              <w:rPr>
                <w:rFonts w:ascii="Times New Roman"/>
                <w:szCs w:val="18"/>
              </w:rPr>
            </w:pPr>
            <w:r>
              <w:rPr>
                <w:rFonts w:ascii="Times New Roman"/>
                <w:szCs w:val="21"/>
              </w:rPr>
              <w:t>0.98</w:t>
            </w:r>
          </w:p>
        </w:tc>
        <w:tc>
          <w:tcPr>
            <w:tcW w:w="730" w:type="dxa"/>
            <w:vAlign w:val="center"/>
          </w:tcPr>
          <w:p w14:paraId="03CC17F4">
            <w:pPr>
              <w:pStyle w:val="28"/>
              <w:tabs>
                <w:tab w:val="clear" w:pos="4201"/>
                <w:tab w:val="clear" w:pos="9298"/>
              </w:tabs>
              <w:spacing w:line="360" w:lineRule="auto"/>
              <w:ind w:firstLine="0" w:firstLineChars="0"/>
              <w:jc w:val="center"/>
              <w:rPr>
                <w:rFonts w:ascii="Times New Roman"/>
                <w:szCs w:val="21"/>
              </w:rPr>
            </w:pPr>
            <w:r>
              <w:rPr>
                <w:rFonts w:ascii="Times New Roman"/>
                <w:szCs w:val="18"/>
              </w:rPr>
              <w:t>kg</w:t>
            </w:r>
          </w:p>
        </w:tc>
        <w:tc>
          <w:tcPr>
            <w:tcW w:w="2036" w:type="dxa"/>
          </w:tcPr>
          <w:p w14:paraId="2871B044">
            <w:pPr>
              <w:pStyle w:val="28"/>
              <w:tabs>
                <w:tab w:val="clear" w:pos="4201"/>
                <w:tab w:val="clear" w:pos="9298"/>
              </w:tabs>
              <w:spacing w:line="360" w:lineRule="auto"/>
              <w:ind w:firstLine="0" w:firstLineChars="0"/>
              <w:jc w:val="center"/>
              <w:rPr>
                <w:rFonts w:ascii="Times New Roman"/>
                <w:szCs w:val="18"/>
              </w:rPr>
            </w:pPr>
            <w:r>
              <w:rPr>
                <w:rFonts w:ascii="Times New Roman"/>
                <w:szCs w:val="21"/>
              </w:rPr>
              <w:t>PP：100%</w:t>
            </w:r>
          </w:p>
        </w:tc>
        <w:tc>
          <w:tcPr>
            <w:tcW w:w="2028" w:type="dxa"/>
            <w:vAlign w:val="center"/>
          </w:tcPr>
          <w:p w14:paraId="7A4FC96E">
            <w:pPr>
              <w:pStyle w:val="28"/>
              <w:tabs>
                <w:tab w:val="clear" w:pos="4201"/>
                <w:tab w:val="clear" w:pos="9298"/>
              </w:tabs>
              <w:ind w:firstLine="0" w:firstLineChars="0"/>
              <w:jc w:val="center"/>
              <w:rPr>
                <w:rFonts w:ascii="Times New Roman"/>
                <w:szCs w:val="18"/>
              </w:rPr>
            </w:pPr>
            <w:r>
              <w:rPr>
                <w:rFonts w:ascii="Times New Roman"/>
                <w:bCs/>
                <w:szCs w:val="21"/>
              </w:rPr>
              <w:t xml:space="preserve">公路运输：汽油货车，载重量8吨  </w:t>
            </w:r>
          </w:p>
        </w:tc>
        <w:tc>
          <w:tcPr>
            <w:tcW w:w="1219" w:type="dxa"/>
            <w:vAlign w:val="center"/>
          </w:tcPr>
          <w:p w14:paraId="61EF71E0">
            <w:pPr>
              <w:pStyle w:val="28"/>
              <w:tabs>
                <w:tab w:val="clear" w:pos="4201"/>
                <w:tab w:val="clear" w:pos="9298"/>
              </w:tabs>
              <w:spacing w:line="360" w:lineRule="auto"/>
              <w:ind w:firstLine="0" w:firstLineChars="0"/>
              <w:jc w:val="center"/>
              <w:rPr>
                <w:rFonts w:ascii="Times New Roman"/>
                <w:szCs w:val="18"/>
              </w:rPr>
            </w:pPr>
            <w:r>
              <w:rPr>
                <w:rFonts w:ascii="Times New Roman"/>
                <w:szCs w:val="21"/>
              </w:rPr>
              <w:t>50</w:t>
            </w:r>
          </w:p>
        </w:tc>
        <w:tc>
          <w:tcPr>
            <w:tcW w:w="845" w:type="dxa"/>
            <w:vAlign w:val="center"/>
          </w:tcPr>
          <w:p w14:paraId="39F09463">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7D5B0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17D811F3">
            <w:pPr>
              <w:pStyle w:val="28"/>
              <w:tabs>
                <w:tab w:val="clear" w:pos="4201"/>
                <w:tab w:val="clear" w:pos="9298"/>
              </w:tabs>
              <w:ind w:firstLine="0" w:firstLineChars="0"/>
              <w:jc w:val="center"/>
              <w:rPr>
                <w:rFonts w:ascii="Times New Roman"/>
                <w:szCs w:val="18"/>
              </w:rPr>
            </w:pPr>
            <w:r>
              <w:rPr>
                <w:rFonts w:ascii="Times New Roman"/>
                <w:szCs w:val="21"/>
              </w:rPr>
              <w:t>钣金</w:t>
            </w:r>
          </w:p>
        </w:tc>
        <w:tc>
          <w:tcPr>
            <w:tcW w:w="730" w:type="dxa"/>
            <w:vAlign w:val="center"/>
          </w:tcPr>
          <w:p w14:paraId="573558EA">
            <w:pPr>
              <w:pStyle w:val="28"/>
              <w:tabs>
                <w:tab w:val="clear" w:pos="4201"/>
                <w:tab w:val="clear" w:pos="9298"/>
              </w:tabs>
              <w:spacing w:line="360" w:lineRule="auto"/>
              <w:ind w:firstLine="0" w:firstLineChars="0"/>
              <w:jc w:val="center"/>
              <w:rPr>
                <w:rFonts w:ascii="Times New Roman"/>
                <w:szCs w:val="18"/>
              </w:rPr>
            </w:pPr>
            <w:r>
              <w:rPr>
                <w:rFonts w:ascii="Times New Roman"/>
                <w:szCs w:val="21"/>
              </w:rPr>
              <w:t>35</w:t>
            </w:r>
          </w:p>
        </w:tc>
        <w:tc>
          <w:tcPr>
            <w:tcW w:w="730" w:type="dxa"/>
            <w:vAlign w:val="center"/>
          </w:tcPr>
          <w:p w14:paraId="1E28497C">
            <w:pPr>
              <w:pStyle w:val="28"/>
              <w:tabs>
                <w:tab w:val="clear" w:pos="4201"/>
                <w:tab w:val="clear" w:pos="9298"/>
              </w:tabs>
              <w:spacing w:line="360" w:lineRule="auto"/>
              <w:ind w:firstLine="0" w:firstLineChars="0"/>
              <w:jc w:val="center"/>
              <w:rPr>
                <w:rFonts w:ascii="Times New Roman"/>
                <w:szCs w:val="21"/>
              </w:rPr>
            </w:pPr>
            <w:r>
              <w:rPr>
                <w:rFonts w:ascii="Times New Roman"/>
                <w:szCs w:val="18"/>
              </w:rPr>
              <w:t>kg</w:t>
            </w:r>
          </w:p>
        </w:tc>
        <w:tc>
          <w:tcPr>
            <w:tcW w:w="2036" w:type="dxa"/>
          </w:tcPr>
          <w:p w14:paraId="593EB112">
            <w:pPr>
              <w:pStyle w:val="28"/>
              <w:tabs>
                <w:tab w:val="clear" w:pos="4201"/>
                <w:tab w:val="clear" w:pos="9298"/>
              </w:tabs>
              <w:spacing w:line="360" w:lineRule="auto"/>
              <w:ind w:firstLine="0" w:firstLineChars="0"/>
              <w:jc w:val="center"/>
              <w:rPr>
                <w:rFonts w:ascii="Times New Roman"/>
                <w:szCs w:val="18"/>
              </w:rPr>
            </w:pPr>
            <w:r>
              <w:rPr>
                <w:rFonts w:ascii="Times New Roman"/>
                <w:szCs w:val="21"/>
              </w:rPr>
              <w:t>钢：100%</w:t>
            </w:r>
          </w:p>
        </w:tc>
        <w:tc>
          <w:tcPr>
            <w:tcW w:w="2028" w:type="dxa"/>
            <w:vAlign w:val="center"/>
          </w:tcPr>
          <w:p w14:paraId="4508AFB1">
            <w:pPr>
              <w:pStyle w:val="28"/>
              <w:tabs>
                <w:tab w:val="clear" w:pos="4201"/>
                <w:tab w:val="clear" w:pos="9298"/>
              </w:tabs>
              <w:ind w:firstLine="0" w:firstLineChars="0"/>
              <w:jc w:val="center"/>
              <w:rPr>
                <w:rFonts w:ascii="Times New Roman"/>
                <w:szCs w:val="18"/>
              </w:rPr>
            </w:pPr>
            <w:r>
              <w:rPr>
                <w:rFonts w:ascii="Times New Roman"/>
                <w:bCs/>
                <w:szCs w:val="21"/>
              </w:rPr>
              <w:t xml:space="preserve">公路运输：汽油货车，载重量8吨  </w:t>
            </w:r>
          </w:p>
        </w:tc>
        <w:tc>
          <w:tcPr>
            <w:tcW w:w="1219" w:type="dxa"/>
            <w:vAlign w:val="center"/>
          </w:tcPr>
          <w:p w14:paraId="7948FE00">
            <w:pPr>
              <w:pStyle w:val="28"/>
              <w:tabs>
                <w:tab w:val="clear" w:pos="4201"/>
                <w:tab w:val="clear" w:pos="9298"/>
              </w:tabs>
              <w:spacing w:line="360" w:lineRule="auto"/>
              <w:ind w:firstLine="0" w:firstLineChars="0"/>
              <w:jc w:val="center"/>
              <w:rPr>
                <w:rFonts w:ascii="Times New Roman"/>
                <w:szCs w:val="18"/>
              </w:rPr>
            </w:pPr>
            <w:r>
              <w:rPr>
                <w:rFonts w:ascii="Times New Roman"/>
                <w:szCs w:val="21"/>
              </w:rPr>
              <w:t>6</w:t>
            </w:r>
          </w:p>
        </w:tc>
        <w:tc>
          <w:tcPr>
            <w:tcW w:w="845" w:type="dxa"/>
            <w:vAlign w:val="center"/>
          </w:tcPr>
          <w:p w14:paraId="00454B00">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0FBF7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27766894">
            <w:pPr>
              <w:pStyle w:val="28"/>
              <w:tabs>
                <w:tab w:val="clear" w:pos="4201"/>
                <w:tab w:val="clear" w:pos="9298"/>
              </w:tabs>
              <w:ind w:firstLine="0" w:firstLineChars="0"/>
              <w:jc w:val="center"/>
              <w:rPr>
                <w:rFonts w:ascii="Times New Roman"/>
                <w:szCs w:val="18"/>
              </w:rPr>
            </w:pPr>
            <w:r>
              <w:rPr>
                <w:rFonts w:ascii="Times New Roman"/>
                <w:szCs w:val="21"/>
              </w:rPr>
              <w:t>保温垫</w:t>
            </w:r>
          </w:p>
        </w:tc>
        <w:tc>
          <w:tcPr>
            <w:tcW w:w="730" w:type="dxa"/>
            <w:vAlign w:val="center"/>
          </w:tcPr>
          <w:p w14:paraId="0496BFE0">
            <w:pPr>
              <w:pStyle w:val="28"/>
              <w:tabs>
                <w:tab w:val="clear" w:pos="4201"/>
                <w:tab w:val="clear" w:pos="9298"/>
              </w:tabs>
              <w:spacing w:line="360" w:lineRule="auto"/>
              <w:ind w:firstLine="0" w:firstLineChars="0"/>
              <w:jc w:val="center"/>
              <w:rPr>
                <w:rFonts w:ascii="Times New Roman"/>
                <w:szCs w:val="18"/>
              </w:rPr>
            </w:pPr>
            <w:r>
              <w:rPr>
                <w:rFonts w:ascii="Times New Roman"/>
                <w:szCs w:val="21"/>
              </w:rPr>
              <w:t>2</w:t>
            </w:r>
          </w:p>
        </w:tc>
        <w:tc>
          <w:tcPr>
            <w:tcW w:w="730" w:type="dxa"/>
            <w:vAlign w:val="center"/>
          </w:tcPr>
          <w:p w14:paraId="00353702">
            <w:pPr>
              <w:pStyle w:val="28"/>
              <w:tabs>
                <w:tab w:val="clear" w:pos="4201"/>
                <w:tab w:val="clear" w:pos="9298"/>
              </w:tabs>
              <w:spacing w:line="360" w:lineRule="auto"/>
              <w:ind w:firstLine="0" w:firstLineChars="0"/>
              <w:jc w:val="center"/>
              <w:rPr>
                <w:rFonts w:ascii="Times New Roman"/>
                <w:szCs w:val="21"/>
              </w:rPr>
            </w:pPr>
            <w:r>
              <w:rPr>
                <w:rFonts w:ascii="Times New Roman"/>
                <w:szCs w:val="18"/>
              </w:rPr>
              <w:t>kg</w:t>
            </w:r>
          </w:p>
        </w:tc>
        <w:tc>
          <w:tcPr>
            <w:tcW w:w="2036" w:type="dxa"/>
          </w:tcPr>
          <w:p w14:paraId="29E4DF19">
            <w:pPr>
              <w:pStyle w:val="28"/>
              <w:tabs>
                <w:tab w:val="clear" w:pos="4201"/>
                <w:tab w:val="clear" w:pos="9298"/>
              </w:tabs>
              <w:spacing w:line="360" w:lineRule="auto"/>
              <w:ind w:firstLine="0" w:firstLineChars="0"/>
              <w:jc w:val="center"/>
              <w:rPr>
                <w:rFonts w:ascii="Times New Roman"/>
                <w:szCs w:val="18"/>
              </w:rPr>
            </w:pPr>
            <w:r>
              <w:rPr>
                <w:rFonts w:ascii="Times New Roman"/>
                <w:szCs w:val="21"/>
              </w:rPr>
              <w:t>PE：100%</w:t>
            </w:r>
          </w:p>
        </w:tc>
        <w:tc>
          <w:tcPr>
            <w:tcW w:w="2028" w:type="dxa"/>
            <w:vAlign w:val="center"/>
          </w:tcPr>
          <w:p w14:paraId="6B77970B">
            <w:pPr>
              <w:pStyle w:val="28"/>
              <w:tabs>
                <w:tab w:val="clear" w:pos="4201"/>
                <w:tab w:val="clear" w:pos="9298"/>
              </w:tabs>
              <w:ind w:firstLine="0" w:firstLineChars="0"/>
              <w:jc w:val="center"/>
              <w:rPr>
                <w:rFonts w:ascii="Times New Roman"/>
                <w:szCs w:val="18"/>
              </w:rPr>
            </w:pPr>
            <w:r>
              <w:rPr>
                <w:rFonts w:ascii="Times New Roman"/>
                <w:bCs/>
                <w:szCs w:val="21"/>
              </w:rPr>
              <w:t>公路运输：</w:t>
            </w:r>
            <w:r>
              <w:rPr>
                <w:rFonts w:ascii="Times New Roman"/>
                <w:szCs w:val="21"/>
              </w:rPr>
              <w:t>柴油货车，载重量15吨</w:t>
            </w:r>
          </w:p>
        </w:tc>
        <w:tc>
          <w:tcPr>
            <w:tcW w:w="1219" w:type="dxa"/>
            <w:vAlign w:val="center"/>
          </w:tcPr>
          <w:p w14:paraId="65EA7DC0">
            <w:pPr>
              <w:pStyle w:val="28"/>
              <w:tabs>
                <w:tab w:val="clear" w:pos="4201"/>
                <w:tab w:val="clear" w:pos="9298"/>
              </w:tabs>
              <w:spacing w:line="360" w:lineRule="auto"/>
              <w:ind w:firstLine="0" w:firstLineChars="0"/>
              <w:jc w:val="center"/>
              <w:rPr>
                <w:rFonts w:ascii="Times New Roman"/>
                <w:szCs w:val="18"/>
              </w:rPr>
            </w:pPr>
            <w:r>
              <w:rPr>
                <w:rFonts w:ascii="Times New Roman"/>
                <w:szCs w:val="21"/>
              </w:rPr>
              <w:t>200</w:t>
            </w:r>
          </w:p>
        </w:tc>
        <w:tc>
          <w:tcPr>
            <w:tcW w:w="845" w:type="dxa"/>
            <w:vAlign w:val="center"/>
          </w:tcPr>
          <w:p w14:paraId="6FE71938">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7E664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27C362AE">
            <w:pPr>
              <w:pStyle w:val="28"/>
              <w:tabs>
                <w:tab w:val="clear" w:pos="4201"/>
                <w:tab w:val="clear" w:pos="9298"/>
              </w:tabs>
              <w:ind w:firstLine="0" w:firstLineChars="0"/>
              <w:jc w:val="center"/>
              <w:rPr>
                <w:rFonts w:ascii="Times New Roman"/>
                <w:szCs w:val="21"/>
              </w:rPr>
            </w:pPr>
            <w:r>
              <w:rPr>
                <w:rFonts w:ascii="Times New Roman"/>
                <w:szCs w:val="21"/>
              </w:rPr>
              <w:t>PM</w:t>
            </w:r>
            <w:r>
              <w:rPr>
                <w:rFonts w:ascii="Times New Roman"/>
                <w:szCs w:val="21"/>
                <w:vertAlign w:val="subscript"/>
              </w:rPr>
              <w:t>2.5</w:t>
            </w:r>
            <w:r>
              <w:rPr>
                <w:rFonts w:ascii="Times New Roman"/>
                <w:szCs w:val="21"/>
              </w:rPr>
              <w:t>高效滤网</w:t>
            </w:r>
          </w:p>
        </w:tc>
        <w:tc>
          <w:tcPr>
            <w:tcW w:w="730" w:type="dxa"/>
            <w:vAlign w:val="center"/>
          </w:tcPr>
          <w:p w14:paraId="0DAD6410">
            <w:pPr>
              <w:pStyle w:val="28"/>
              <w:tabs>
                <w:tab w:val="clear" w:pos="4201"/>
                <w:tab w:val="clear" w:pos="9298"/>
              </w:tabs>
              <w:spacing w:line="360" w:lineRule="auto"/>
              <w:ind w:firstLine="0" w:firstLineChars="0"/>
              <w:jc w:val="center"/>
              <w:rPr>
                <w:rFonts w:ascii="Times New Roman"/>
                <w:szCs w:val="18"/>
              </w:rPr>
            </w:pPr>
            <w:r>
              <w:rPr>
                <w:rFonts w:ascii="Times New Roman"/>
                <w:szCs w:val="21"/>
              </w:rPr>
              <w:t>0.5</w:t>
            </w:r>
          </w:p>
        </w:tc>
        <w:tc>
          <w:tcPr>
            <w:tcW w:w="730" w:type="dxa"/>
            <w:vAlign w:val="center"/>
          </w:tcPr>
          <w:p w14:paraId="5628AE7B">
            <w:pPr>
              <w:spacing w:line="320" w:lineRule="exact"/>
              <w:jc w:val="center"/>
              <w:rPr>
                <w:rFonts w:ascii="Times New Roman"/>
                <w:szCs w:val="21"/>
              </w:rPr>
            </w:pPr>
            <w:r>
              <w:rPr>
                <w:rFonts w:ascii="Times New Roman"/>
              </w:rPr>
              <w:t>kg</w:t>
            </w:r>
          </w:p>
        </w:tc>
        <w:tc>
          <w:tcPr>
            <w:tcW w:w="2036" w:type="dxa"/>
            <w:vAlign w:val="center"/>
          </w:tcPr>
          <w:p w14:paraId="7234C342">
            <w:pPr>
              <w:spacing w:line="320" w:lineRule="exact"/>
              <w:jc w:val="center"/>
              <w:rPr>
                <w:rFonts w:ascii="Times New Roman"/>
                <w:szCs w:val="21"/>
              </w:rPr>
            </w:pPr>
            <w:r>
              <w:rPr>
                <w:rFonts w:ascii="Times New Roman"/>
                <w:szCs w:val="21"/>
              </w:rPr>
              <w:t>PET: 55%</w:t>
            </w:r>
          </w:p>
          <w:p w14:paraId="253FFCDB">
            <w:pPr>
              <w:pStyle w:val="28"/>
              <w:tabs>
                <w:tab w:val="clear" w:pos="4201"/>
                <w:tab w:val="clear" w:pos="9298"/>
              </w:tabs>
              <w:spacing w:line="360" w:lineRule="auto"/>
              <w:ind w:firstLine="0" w:firstLineChars="0"/>
              <w:jc w:val="center"/>
              <w:rPr>
                <w:rFonts w:ascii="Times New Roman"/>
                <w:szCs w:val="18"/>
              </w:rPr>
            </w:pPr>
            <w:r>
              <w:rPr>
                <w:rFonts w:ascii="Times New Roman"/>
                <w:szCs w:val="21"/>
              </w:rPr>
              <w:t>无纺布：45%</w:t>
            </w:r>
          </w:p>
        </w:tc>
        <w:tc>
          <w:tcPr>
            <w:tcW w:w="2028" w:type="dxa"/>
            <w:vAlign w:val="center"/>
          </w:tcPr>
          <w:p w14:paraId="1393B82A">
            <w:pPr>
              <w:pStyle w:val="28"/>
              <w:tabs>
                <w:tab w:val="clear" w:pos="4201"/>
                <w:tab w:val="clear" w:pos="9298"/>
              </w:tabs>
              <w:ind w:firstLine="0" w:firstLineChars="0"/>
              <w:jc w:val="center"/>
              <w:rPr>
                <w:rFonts w:ascii="Times New Roman"/>
                <w:szCs w:val="18"/>
              </w:rPr>
            </w:pPr>
            <w:r>
              <w:rPr>
                <w:rFonts w:ascii="Times New Roman"/>
                <w:bCs/>
                <w:szCs w:val="21"/>
              </w:rPr>
              <w:t>公路运输：</w:t>
            </w:r>
            <w:r>
              <w:rPr>
                <w:rFonts w:ascii="Times New Roman"/>
                <w:szCs w:val="21"/>
              </w:rPr>
              <w:t>柴油货车，载重量15吨</w:t>
            </w:r>
          </w:p>
        </w:tc>
        <w:tc>
          <w:tcPr>
            <w:tcW w:w="1219" w:type="dxa"/>
            <w:vAlign w:val="center"/>
          </w:tcPr>
          <w:p w14:paraId="250CE9FE">
            <w:pPr>
              <w:pStyle w:val="28"/>
              <w:tabs>
                <w:tab w:val="clear" w:pos="4201"/>
                <w:tab w:val="clear" w:pos="9298"/>
              </w:tabs>
              <w:spacing w:line="360" w:lineRule="auto"/>
              <w:ind w:firstLine="0" w:firstLineChars="0"/>
              <w:jc w:val="center"/>
              <w:rPr>
                <w:rFonts w:ascii="Times New Roman"/>
                <w:szCs w:val="18"/>
              </w:rPr>
            </w:pPr>
            <w:r>
              <w:rPr>
                <w:rFonts w:ascii="Times New Roman"/>
                <w:szCs w:val="21"/>
              </w:rPr>
              <w:t>190</w:t>
            </w:r>
          </w:p>
        </w:tc>
        <w:tc>
          <w:tcPr>
            <w:tcW w:w="845" w:type="dxa"/>
            <w:vAlign w:val="center"/>
          </w:tcPr>
          <w:p w14:paraId="7B797ABB">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154B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6DCA6B94">
            <w:pPr>
              <w:pStyle w:val="28"/>
              <w:tabs>
                <w:tab w:val="clear" w:pos="4201"/>
                <w:tab w:val="clear" w:pos="9298"/>
              </w:tabs>
              <w:ind w:firstLine="0" w:firstLineChars="0"/>
              <w:jc w:val="center"/>
              <w:rPr>
                <w:rFonts w:ascii="Times New Roman"/>
                <w:szCs w:val="21"/>
              </w:rPr>
            </w:pPr>
            <w:r>
              <w:rPr>
                <w:rFonts w:ascii="Times New Roman"/>
                <w:szCs w:val="21"/>
              </w:rPr>
              <w:t>粗效滤网</w:t>
            </w:r>
          </w:p>
        </w:tc>
        <w:tc>
          <w:tcPr>
            <w:tcW w:w="730" w:type="dxa"/>
            <w:vAlign w:val="center"/>
          </w:tcPr>
          <w:p w14:paraId="098DF1FF">
            <w:pPr>
              <w:pStyle w:val="28"/>
              <w:tabs>
                <w:tab w:val="clear" w:pos="4201"/>
                <w:tab w:val="clear" w:pos="9298"/>
              </w:tabs>
              <w:spacing w:line="360" w:lineRule="auto"/>
              <w:ind w:firstLine="0" w:firstLineChars="0"/>
              <w:jc w:val="center"/>
              <w:rPr>
                <w:rFonts w:ascii="Times New Roman"/>
                <w:szCs w:val="18"/>
              </w:rPr>
            </w:pPr>
            <w:r>
              <w:rPr>
                <w:rFonts w:ascii="Times New Roman"/>
                <w:szCs w:val="21"/>
              </w:rPr>
              <w:t>0.4</w:t>
            </w:r>
          </w:p>
        </w:tc>
        <w:tc>
          <w:tcPr>
            <w:tcW w:w="730" w:type="dxa"/>
            <w:vAlign w:val="center"/>
          </w:tcPr>
          <w:p w14:paraId="1CB05C18">
            <w:pPr>
              <w:spacing w:line="320" w:lineRule="exact"/>
              <w:jc w:val="center"/>
              <w:rPr>
                <w:rFonts w:ascii="Times New Roman"/>
                <w:szCs w:val="21"/>
              </w:rPr>
            </w:pPr>
            <w:r>
              <w:rPr>
                <w:rFonts w:ascii="Times New Roman"/>
              </w:rPr>
              <w:t>kg</w:t>
            </w:r>
          </w:p>
        </w:tc>
        <w:tc>
          <w:tcPr>
            <w:tcW w:w="2036" w:type="dxa"/>
            <w:vAlign w:val="center"/>
          </w:tcPr>
          <w:p w14:paraId="75C01886">
            <w:pPr>
              <w:jc w:val="center"/>
              <w:rPr>
                <w:rFonts w:ascii="Times New Roman"/>
                <w:szCs w:val="21"/>
              </w:rPr>
            </w:pPr>
            <w:r>
              <w:rPr>
                <w:rFonts w:ascii="Times New Roman"/>
                <w:szCs w:val="21"/>
              </w:rPr>
              <w:t>PP:95%</w:t>
            </w:r>
          </w:p>
          <w:p w14:paraId="40A369A5">
            <w:pPr>
              <w:pStyle w:val="28"/>
              <w:tabs>
                <w:tab w:val="clear" w:pos="4201"/>
                <w:tab w:val="clear" w:pos="9298"/>
              </w:tabs>
              <w:ind w:firstLine="0" w:firstLineChars="0"/>
              <w:jc w:val="center"/>
              <w:rPr>
                <w:rFonts w:ascii="Times New Roman"/>
                <w:szCs w:val="18"/>
              </w:rPr>
            </w:pPr>
            <w:r>
              <w:rPr>
                <w:rFonts w:ascii="Times New Roman"/>
                <w:szCs w:val="21"/>
              </w:rPr>
              <w:t>聚丙烯纤：5%</w:t>
            </w:r>
          </w:p>
        </w:tc>
        <w:tc>
          <w:tcPr>
            <w:tcW w:w="2028" w:type="dxa"/>
            <w:vAlign w:val="center"/>
          </w:tcPr>
          <w:p w14:paraId="1B72DD57">
            <w:pPr>
              <w:pStyle w:val="28"/>
              <w:tabs>
                <w:tab w:val="clear" w:pos="4201"/>
                <w:tab w:val="clear" w:pos="9298"/>
              </w:tabs>
              <w:ind w:firstLine="0" w:firstLineChars="0"/>
              <w:jc w:val="center"/>
              <w:rPr>
                <w:rFonts w:ascii="Times New Roman"/>
                <w:szCs w:val="18"/>
              </w:rPr>
            </w:pPr>
            <w:r>
              <w:rPr>
                <w:rFonts w:ascii="Times New Roman"/>
                <w:bCs/>
                <w:szCs w:val="21"/>
              </w:rPr>
              <w:t>公路运输：</w:t>
            </w:r>
            <w:r>
              <w:rPr>
                <w:rFonts w:ascii="Times New Roman"/>
                <w:szCs w:val="21"/>
              </w:rPr>
              <w:t>柴油货车，载重量30吨</w:t>
            </w:r>
          </w:p>
        </w:tc>
        <w:tc>
          <w:tcPr>
            <w:tcW w:w="1219" w:type="dxa"/>
            <w:vAlign w:val="center"/>
          </w:tcPr>
          <w:p w14:paraId="20A22088">
            <w:pPr>
              <w:pStyle w:val="28"/>
              <w:tabs>
                <w:tab w:val="clear" w:pos="4201"/>
                <w:tab w:val="clear" w:pos="9298"/>
              </w:tabs>
              <w:spacing w:line="360" w:lineRule="auto"/>
              <w:ind w:firstLine="0" w:firstLineChars="0"/>
              <w:jc w:val="center"/>
              <w:rPr>
                <w:rFonts w:ascii="Times New Roman"/>
                <w:szCs w:val="18"/>
              </w:rPr>
            </w:pPr>
            <w:r>
              <w:rPr>
                <w:rFonts w:ascii="Times New Roman"/>
                <w:szCs w:val="21"/>
              </w:rPr>
              <w:t>1320</w:t>
            </w:r>
          </w:p>
        </w:tc>
        <w:tc>
          <w:tcPr>
            <w:tcW w:w="845" w:type="dxa"/>
            <w:vAlign w:val="center"/>
          </w:tcPr>
          <w:p w14:paraId="06C6D7A7">
            <w:pPr>
              <w:pStyle w:val="28"/>
              <w:tabs>
                <w:tab w:val="clear" w:pos="4201"/>
                <w:tab w:val="clear" w:pos="9298"/>
              </w:tabs>
              <w:ind w:firstLine="0" w:firstLineChars="0"/>
              <w:jc w:val="center"/>
              <w:rPr>
                <w:rFonts w:ascii="Times New Roman"/>
                <w:szCs w:val="18"/>
              </w:rPr>
            </w:pPr>
            <w:r>
              <w:rPr>
                <w:rFonts w:ascii="Times New Roman"/>
                <w:szCs w:val="18"/>
              </w:rPr>
              <w:t>企业提供</w:t>
            </w:r>
          </w:p>
        </w:tc>
      </w:tr>
      <w:tr w14:paraId="0124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9" w:type="dxa"/>
            <w:vAlign w:val="center"/>
          </w:tcPr>
          <w:p w14:paraId="43175462">
            <w:pPr>
              <w:pStyle w:val="28"/>
              <w:tabs>
                <w:tab w:val="clear" w:pos="4201"/>
                <w:tab w:val="clear" w:pos="9298"/>
              </w:tabs>
              <w:spacing w:line="360" w:lineRule="auto"/>
              <w:ind w:firstLine="0" w:firstLineChars="0"/>
              <w:jc w:val="center"/>
              <w:rPr>
                <w:rFonts w:ascii="Times New Roman"/>
                <w:szCs w:val="21"/>
              </w:rPr>
            </w:pPr>
            <w:r>
              <w:rPr>
                <w:rFonts w:ascii="Times New Roman"/>
                <w:szCs w:val="21"/>
              </w:rPr>
              <w:t>包装箱</w:t>
            </w:r>
          </w:p>
        </w:tc>
        <w:tc>
          <w:tcPr>
            <w:tcW w:w="730" w:type="dxa"/>
            <w:vAlign w:val="center"/>
          </w:tcPr>
          <w:p w14:paraId="710D0139">
            <w:pPr>
              <w:pStyle w:val="28"/>
              <w:tabs>
                <w:tab w:val="clear" w:pos="4201"/>
                <w:tab w:val="clear" w:pos="9298"/>
              </w:tabs>
              <w:spacing w:line="360" w:lineRule="auto"/>
              <w:ind w:firstLine="0" w:firstLineChars="0"/>
              <w:jc w:val="center"/>
              <w:rPr>
                <w:rFonts w:ascii="Times New Roman"/>
                <w:szCs w:val="18"/>
              </w:rPr>
            </w:pPr>
            <w:r>
              <w:rPr>
                <w:rFonts w:ascii="Times New Roman"/>
                <w:szCs w:val="21"/>
              </w:rPr>
              <w:t>2.75</w:t>
            </w:r>
          </w:p>
        </w:tc>
        <w:tc>
          <w:tcPr>
            <w:tcW w:w="730" w:type="dxa"/>
            <w:vAlign w:val="center"/>
          </w:tcPr>
          <w:p w14:paraId="38E8B0A1">
            <w:pPr>
              <w:spacing w:line="320" w:lineRule="exact"/>
              <w:jc w:val="center"/>
              <w:rPr>
                <w:rFonts w:ascii="Times New Roman"/>
                <w:szCs w:val="21"/>
              </w:rPr>
            </w:pPr>
            <w:r>
              <w:rPr>
                <w:rFonts w:ascii="Times New Roman"/>
              </w:rPr>
              <w:t>kg</w:t>
            </w:r>
          </w:p>
        </w:tc>
        <w:tc>
          <w:tcPr>
            <w:tcW w:w="2036" w:type="dxa"/>
            <w:vAlign w:val="center"/>
          </w:tcPr>
          <w:p w14:paraId="096E719D">
            <w:pPr>
              <w:spacing w:line="320" w:lineRule="exact"/>
              <w:jc w:val="center"/>
              <w:rPr>
                <w:rFonts w:ascii="Times New Roman"/>
                <w:szCs w:val="21"/>
              </w:rPr>
            </w:pPr>
            <w:r>
              <w:rPr>
                <w:rFonts w:ascii="Times New Roman"/>
                <w:szCs w:val="21"/>
              </w:rPr>
              <w:t>泡沫：7%</w:t>
            </w:r>
          </w:p>
          <w:p w14:paraId="44C3C15E">
            <w:pPr>
              <w:pStyle w:val="28"/>
              <w:tabs>
                <w:tab w:val="clear" w:pos="4201"/>
                <w:tab w:val="clear" w:pos="9298"/>
              </w:tabs>
              <w:spacing w:line="360" w:lineRule="auto"/>
              <w:ind w:firstLine="0" w:firstLineChars="0"/>
              <w:jc w:val="center"/>
              <w:rPr>
                <w:rFonts w:ascii="Times New Roman"/>
                <w:szCs w:val="18"/>
              </w:rPr>
            </w:pPr>
            <w:r>
              <w:rPr>
                <w:rFonts w:ascii="Times New Roman"/>
                <w:szCs w:val="21"/>
              </w:rPr>
              <w:t>纸：93%</w:t>
            </w:r>
          </w:p>
        </w:tc>
        <w:tc>
          <w:tcPr>
            <w:tcW w:w="2028" w:type="dxa"/>
            <w:vAlign w:val="center"/>
          </w:tcPr>
          <w:p w14:paraId="047D95A2">
            <w:pPr>
              <w:pStyle w:val="28"/>
              <w:tabs>
                <w:tab w:val="clear" w:pos="4201"/>
                <w:tab w:val="clear" w:pos="9298"/>
              </w:tabs>
              <w:ind w:firstLine="0" w:firstLineChars="0"/>
              <w:jc w:val="center"/>
              <w:rPr>
                <w:rFonts w:ascii="Times New Roman"/>
                <w:szCs w:val="18"/>
              </w:rPr>
            </w:pPr>
            <w:r>
              <w:rPr>
                <w:rFonts w:ascii="Times New Roman"/>
                <w:bCs/>
                <w:szCs w:val="21"/>
              </w:rPr>
              <w:t xml:space="preserve">公路运输：汽油货车，载重量8吨  </w:t>
            </w:r>
          </w:p>
        </w:tc>
        <w:tc>
          <w:tcPr>
            <w:tcW w:w="1219" w:type="dxa"/>
            <w:vAlign w:val="center"/>
          </w:tcPr>
          <w:p w14:paraId="60E207B2">
            <w:pPr>
              <w:pStyle w:val="28"/>
              <w:tabs>
                <w:tab w:val="clear" w:pos="4201"/>
                <w:tab w:val="clear" w:pos="9298"/>
              </w:tabs>
              <w:spacing w:line="360" w:lineRule="auto"/>
              <w:ind w:firstLine="0" w:firstLineChars="0"/>
              <w:jc w:val="center"/>
              <w:rPr>
                <w:rFonts w:ascii="Times New Roman"/>
                <w:szCs w:val="18"/>
              </w:rPr>
            </w:pPr>
            <w:r>
              <w:rPr>
                <w:rFonts w:ascii="Times New Roman"/>
                <w:szCs w:val="21"/>
              </w:rPr>
              <w:t>5</w:t>
            </w:r>
          </w:p>
        </w:tc>
        <w:tc>
          <w:tcPr>
            <w:tcW w:w="845" w:type="dxa"/>
            <w:vAlign w:val="center"/>
          </w:tcPr>
          <w:p w14:paraId="5A4E1912">
            <w:pPr>
              <w:pStyle w:val="28"/>
              <w:tabs>
                <w:tab w:val="clear" w:pos="4201"/>
                <w:tab w:val="clear" w:pos="9298"/>
              </w:tabs>
              <w:ind w:firstLine="0" w:firstLineChars="0"/>
              <w:jc w:val="center"/>
              <w:rPr>
                <w:rFonts w:ascii="Times New Roman"/>
                <w:szCs w:val="18"/>
              </w:rPr>
            </w:pPr>
            <w:r>
              <w:rPr>
                <w:rFonts w:ascii="Times New Roman"/>
                <w:szCs w:val="18"/>
              </w:rPr>
              <w:t>企业提供</w:t>
            </w:r>
          </w:p>
        </w:tc>
      </w:tr>
    </w:tbl>
    <w:p w14:paraId="1166FC0B">
      <w:pPr>
        <w:spacing w:before="198" w:line="222" w:lineRule="auto"/>
        <w:ind w:left="3"/>
        <w:jc w:val="center"/>
        <w:rPr>
          <w:rFonts w:eastAsia="黑体"/>
          <w:spacing w:val="-3"/>
          <w:szCs w:val="21"/>
        </w:rPr>
      </w:pPr>
      <w:r>
        <w:rPr>
          <w:rFonts w:eastAsia="黑体"/>
          <w:spacing w:val="-3"/>
          <w:szCs w:val="21"/>
        </w:rPr>
        <w:t>表E.2 原材料及运输方式温室气体排放因子数据收集</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701"/>
        <w:gridCol w:w="1686"/>
        <w:gridCol w:w="4219"/>
      </w:tblGrid>
      <w:tr w14:paraId="1A76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71" w:type="dxa"/>
            <w:vMerge w:val="restart"/>
            <w:vAlign w:val="center"/>
          </w:tcPr>
          <w:p w14:paraId="1C1C1149">
            <w:pPr>
              <w:pStyle w:val="28"/>
              <w:ind w:firstLine="0" w:firstLineChars="0"/>
              <w:jc w:val="center"/>
              <w:rPr>
                <w:rFonts w:ascii="Times New Roman"/>
                <w:b/>
                <w:bCs/>
                <w:szCs w:val="21"/>
              </w:rPr>
            </w:pPr>
            <w:bookmarkStart w:id="56" w:name="OLE_LINK4"/>
            <w:r>
              <w:rPr>
                <w:rFonts w:ascii="Times New Roman"/>
                <w:b/>
                <w:bCs/>
                <w:szCs w:val="21"/>
              </w:rPr>
              <w:t>名称</w:t>
            </w:r>
          </w:p>
        </w:tc>
        <w:tc>
          <w:tcPr>
            <w:tcW w:w="3387" w:type="dxa"/>
            <w:gridSpan w:val="2"/>
            <w:vAlign w:val="center"/>
          </w:tcPr>
          <w:p w14:paraId="708E616A">
            <w:pPr>
              <w:pStyle w:val="28"/>
              <w:tabs>
                <w:tab w:val="clear" w:pos="4201"/>
                <w:tab w:val="clear" w:pos="9298"/>
              </w:tabs>
              <w:ind w:firstLine="0" w:firstLineChars="0"/>
              <w:jc w:val="center"/>
              <w:rPr>
                <w:rFonts w:ascii="Times New Roman"/>
                <w:b/>
                <w:bCs/>
                <w:szCs w:val="21"/>
              </w:rPr>
            </w:pPr>
            <w:r>
              <w:rPr>
                <w:rFonts w:ascii="Times New Roman"/>
                <w:b/>
                <w:bCs/>
                <w:szCs w:val="21"/>
              </w:rPr>
              <w:t>温室气体排放因子</w:t>
            </w:r>
          </w:p>
        </w:tc>
        <w:tc>
          <w:tcPr>
            <w:tcW w:w="4219" w:type="dxa"/>
            <w:vMerge w:val="restart"/>
            <w:vAlign w:val="center"/>
          </w:tcPr>
          <w:p w14:paraId="213C1ED0">
            <w:pPr>
              <w:pStyle w:val="28"/>
              <w:ind w:firstLine="422"/>
              <w:jc w:val="center"/>
              <w:rPr>
                <w:rFonts w:ascii="Times New Roman"/>
                <w:b/>
                <w:bCs/>
                <w:szCs w:val="21"/>
              </w:rPr>
            </w:pPr>
            <w:r>
              <w:rPr>
                <w:rFonts w:ascii="Times New Roman"/>
                <w:b/>
                <w:bCs/>
                <w:szCs w:val="21"/>
              </w:rPr>
              <w:t>数据来源</w:t>
            </w:r>
          </w:p>
        </w:tc>
      </w:tr>
      <w:tr w14:paraId="5DA7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271" w:type="dxa"/>
            <w:vMerge w:val="continue"/>
            <w:tcBorders>
              <w:bottom w:val="single" w:color="000000" w:sz="4" w:space="0"/>
            </w:tcBorders>
            <w:vAlign w:val="center"/>
          </w:tcPr>
          <w:p w14:paraId="3D83125E">
            <w:pPr>
              <w:pStyle w:val="28"/>
              <w:tabs>
                <w:tab w:val="clear" w:pos="4201"/>
                <w:tab w:val="clear" w:pos="9298"/>
              </w:tabs>
              <w:ind w:firstLine="0" w:firstLineChars="0"/>
              <w:jc w:val="center"/>
              <w:rPr>
                <w:rFonts w:ascii="Times New Roman"/>
                <w:b/>
                <w:bCs/>
                <w:szCs w:val="21"/>
              </w:rPr>
            </w:pPr>
          </w:p>
        </w:tc>
        <w:tc>
          <w:tcPr>
            <w:tcW w:w="1701" w:type="dxa"/>
            <w:tcBorders>
              <w:bottom w:val="single" w:color="000000" w:sz="4" w:space="0"/>
              <w:right w:val="single" w:color="auto" w:sz="4" w:space="0"/>
            </w:tcBorders>
            <w:vAlign w:val="center"/>
          </w:tcPr>
          <w:p w14:paraId="68648380">
            <w:pPr>
              <w:pStyle w:val="28"/>
              <w:tabs>
                <w:tab w:val="clear" w:pos="4201"/>
                <w:tab w:val="clear" w:pos="9298"/>
              </w:tabs>
              <w:ind w:firstLine="0" w:firstLineChars="0"/>
              <w:jc w:val="center"/>
              <w:rPr>
                <w:rFonts w:ascii="Times New Roman"/>
                <w:b/>
                <w:bCs/>
                <w:szCs w:val="21"/>
              </w:rPr>
            </w:pPr>
            <w:r>
              <w:rPr>
                <w:rFonts w:ascii="Times New Roman"/>
                <w:b/>
                <w:bCs/>
                <w:szCs w:val="21"/>
              </w:rPr>
              <w:t>数值</w:t>
            </w:r>
          </w:p>
        </w:tc>
        <w:tc>
          <w:tcPr>
            <w:tcW w:w="1686" w:type="dxa"/>
            <w:tcBorders>
              <w:left w:val="single" w:color="auto" w:sz="4" w:space="0"/>
              <w:bottom w:val="single" w:color="000000" w:sz="4" w:space="0"/>
            </w:tcBorders>
            <w:vAlign w:val="center"/>
          </w:tcPr>
          <w:p w14:paraId="5097C52A">
            <w:pPr>
              <w:pStyle w:val="28"/>
              <w:tabs>
                <w:tab w:val="clear" w:pos="4201"/>
                <w:tab w:val="clear" w:pos="9298"/>
              </w:tabs>
              <w:ind w:firstLine="0" w:firstLineChars="0"/>
              <w:jc w:val="center"/>
              <w:rPr>
                <w:rFonts w:ascii="Times New Roman"/>
                <w:b/>
                <w:bCs/>
                <w:szCs w:val="21"/>
              </w:rPr>
            </w:pPr>
            <w:r>
              <w:rPr>
                <w:rFonts w:ascii="Times New Roman"/>
                <w:b/>
                <w:bCs/>
                <w:szCs w:val="21"/>
              </w:rPr>
              <w:t>单位</w:t>
            </w:r>
          </w:p>
        </w:tc>
        <w:tc>
          <w:tcPr>
            <w:tcW w:w="4219" w:type="dxa"/>
            <w:vMerge w:val="continue"/>
            <w:tcBorders>
              <w:bottom w:val="single" w:color="000000" w:sz="4" w:space="0"/>
            </w:tcBorders>
            <w:vAlign w:val="center"/>
          </w:tcPr>
          <w:p w14:paraId="075B891D">
            <w:pPr>
              <w:pStyle w:val="28"/>
              <w:tabs>
                <w:tab w:val="clear" w:pos="4201"/>
                <w:tab w:val="clear" w:pos="9298"/>
              </w:tabs>
              <w:ind w:firstLine="0" w:firstLineChars="0"/>
              <w:jc w:val="center"/>
              <w:rPr>
                <w:rFonts w:ascii="Times New Roman"/>
                <w:b/>
                <w:bCs/>
                <w:szCs w:val="21"/>
              </w:rPr>
            </w:pPr>
          </w:p>
        </w:tc>
      </w:tr>
      <w:tr w14:paraId="79D8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71" w:type="dxa"/>
            <w:vAlign w:val="center"/>
          </w:tcPr>
          <w:p w14:paraId="055A0206">
            <w:pPr>
              <w:pStyle w:val="28"/>
              <w:tabs>
                <w:tab w:val="clear" w:pos="4201"/>
                <w:tab w:val="clear" w:pos="9298"/>
              </w:tabs>
              <w:ind w:firstLine="0" w:firstLineChars="0"/>
              <w:jc w:val="center"/>
              <w:rPr>
                <w:rFonts w:ascii="Times New Roman"/>
                <w:szCs w:val="21"/>
              </w:rPr>
            </w:pPr>
            <w:r>
              <w:rPr>
                <w:rFonts w:ascii="Times New Roman"/>
                <w:szCs w:val="21"/>
              </w:rPr>
              <w:t xml:space="preserve">ABS </w:t>
            </w:r>
          </w:p>
        </w:tc>
        <w:tc>
          <w:tcPr>
            <w:tcW w:w="1701" w:type="dxa"/>
            <w:tcBorders>
              <w:right w:val="single" w:color="auto" w:sz="4" w:space="0"/>
            </w:tcBorders>
            <w:vAlign w:val="center"/>
          </w:tcPr>
          <w:p w14:paraId="690C5633">
            <w:pPr>
              <w:spacing w:line="320" w:lineRule="exact"/>
              <w:jc w:val="center"/>
              <w:rPr>
                <w:rFonts w:ascii="Times New Roman"/>
                <w:szCs w:val="21"/>
              </w:rPr>
            </w:pPr>
            <w:r>
              <w:rPr>
                <w:rFonts w:ascii="Times New Roman"/>
                <w:szCs w:val="21"/>
              </w:rPr>
              <w:t xml:space="preserve">2.879 </w:t>
            </w:r>
          </w:p>
        </w:tc>
        <w:tc>
          <w:tcPr>
            <w:tcW w:w="1686" w:type="dxa"/>
            <w:tcBorders>
              <w:left w:val="single" w:color="auto" w:sz="4" w:space="0"/>
            </w:tcBorders>
            <w:vAlign w:val="center"/>
          </w:tcPr>
          <w:p w14:paraId="23B3CEF6">
            <w:pPr>
              <w:spacing w:line="320" w:lineRule="exact"/>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210938E8">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中国产品全生命周期温室气体排放系数库-ABS树脂-2022</w:t>
            </w:r>
          </w:p>
        </w:tc>
      </w:tr>
      <w:tr w14:paraId="57E5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71" w:type="dxa"/>
            <w:vAlign w:val="center"/>
          </w:tcPr>
          <w:p w14:paraId="0F1FA636">
            <w:pPr>
              <w:pStyle w:val="28"/>
              <w:tabs>
                <w:tab w:val="clear" w:pos="4201"/>
                <w:tab w:val="clear" w:pos="9298"/>
              </w:tabs>
              <w:ind w:firstLine="0" w:firstLineChars="0"/>
              <w:jc w:val="center"/>
              <w:rPr>
                <w:rFonts w:ascii="Times New Roman"/>
                <w:szCs w:val="21"/>
              </w:rPr>
            </w:pPr>
            <w:r>
              <w:rPr>
                <w:rFonts w:ascii="Times New Roman"/>
                <w:szCs w:val="21"/>
              </w:rPr>
              <w:t>钢</w:t>
            </w:r>
          </w:p>
        </w:tc>
        <w:tc>
          <w:tcPr>
            <w:tcW w:w="1701" w:type="dxa"/>
            <w:tcBorders>
              <w:right w:val="single" w:color="auto" w:sz="4" w:space="0"/>
            </w:tcBorders>
            <w:vAlign w:val="center"/>
          </w:tcPr>
          <w:p w14:paraId="4C3815F2">
            <w:pPr>
              <w:pStyle w:val="28"/>
              <w:tabs>
                <w:tab w:val="clear" w:pos="4201"/>
                <w:tab w:val="clear" w:pos="9298"/>
              </w:tabs>
              <w:spacing w:line="360" w:lineRule="auto"/>
              <w:ind w:firstLine="0" w:firstLineChars="0"/>
              <w:jc w:val="center"/>
              <w:rPr>
                <w:rFonts w:ascii="Times New Roman"/>
                <w:szCs w:val="21"/>
              </w:rPr>
            </w:pPr>
            <w:r>
              <w:rPr>
                <w:rFonts w:ascii="Times New Roman"/>
                <w:szCs w:val="21"/>
              </w:rPr>
              <w:t>2.38</w:t>
            </w:r>
          </w:p>
        </w:tc>
        <w:tc>
          <w:tcPr>
            <w:tcW w:w="1686" w:type="dxa"/>
            <w:tcBorders>
              <w:left w:val="single" w:color="auto" w:sz="4" w:space="0"/>
            </w:tcBorders>
            <w:vAlign w:val="center"/>
          </w:tcPr>
          <w:p w14:paraId="4FA0CCF3">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6BFCAF7E">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中国产品全生命周期温室气体排放系数库-钢铁-2021</w:t>
            </w:r>
          </w:p>
        </w:tc>
      </w:tr>
      <w:tr w14:paraId="661CB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170220F3">
            <w:pPr>
              <w:pStyle w:val="28"/>
              <w:tabs>
                <w:tab w:val="clear" w:pos="4201"/>
                <w:tab w:val="clear" w:pos="9298"/>
              </w:tabs>
              <w:ind w:firstLine="0" w:firstLineChars="0"/>
              <w:jc w:val="center"/>
              <w:rPr>
                <w:rFonts w:ascii="Times New Roman"/>
                <w:szCs w:val="21"/>
              </w:rPr>
            </w:pPr>
            <w:r>
              <w:rPr>
                <w:rFonts w:ascii="Times New Roman"/>
                <w:szCs w:val="21"/>
              </w:rPr>
              <w:t>铜</w:t>
            </w:r>
          </w:p>
        </w:tc>
        <w:tc>
          <w:tcPr>
            <w:tcW w:w="1701" w:type="dxa"/>
            <w:tcBorders>
              <w:right w:val="single" w:color="auto" w:sz="4" w:space="0"/>
            </w:tcBorders>
            <w:vAlign w:val="center"/>
          </w:tcPr>
          <w:p w14:paraId="47B6C612">
            <w:pPr>
              <w:pStyle w:val="28"/>
              <w:tabs>
                <w:tab w:val="clear" w:pos="4201"/>
                <w:tab w:val="clear" w:pos="9298"/>
              </w:tabs>
              <w:spacing w:line="360" w:lineRule="auto"/>
              <w:ind w:firstLine="0" w:firstLineChars="0"/>
              <w:jc w:val="center"/>
              <w:rPr>
                <w:rFonts w:ascii="Times New Roman"/>
                <w:szCs w:val="21"/>
              </w:rPr>
            </w:pPr>
            <w:r>
              <w:rPr>
                <w:rFonts w:ascii="Times New Roman"/>
                <w:szCs w:val="21"/>
              </w:rPr>
              <w:t>4.23</w:t>
            </w:r>
          </w:p>
        </w:tc>
        <w:tc>
          <w:tcPr>
            <w:tcW w:w="1686" w:type="dxa"/>
            <w:tcBorders>
              <w:left w:val="single" w:color="auto" w:sz="4" w:space="0"/>
            </w:tcBorders>
            <w:vAlign w:val="center"/>
          </w:tcPr>
          <w:p w14:paraId="577FFCE3">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53685F4B">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中国产品全生命周期温室气体排放系数库-铜及铜制品-2021</w:t>
            </w:r>
          </w:p>
        </w:tc>
      </w:tr>
      <w:tr w14:paraId="590B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78F73B0B">
            <w:pPr>
              <w:pStyle w:val="28"/>
              <w:tabs>
                <w:tab w:val="clear" w:pos="4201"/>
                <w:tab w:val="clear" w:pos="9298"/>
              </w:tabs>
              <w:ind w:firstLine="0" w:firstLineChars="0"/>
              <w:jc w:val="center"/>
              <w:rPr>
                <w:rFonts w:ascii="Times New Roman"/>
                <w:szCs w:val="21"/>
              </w:rPr>
            </w:pPr>
            <w:r>
              <w:rPr>
                <w:rFonts w:ascii="Times New Roman"/>
                <w:szCs w:val="21"/>
              </w:rPr>
              <w:t>塑料</w:t>
            </w:r>
          </w:p>
        </w:tc>
        <w:tc>
          <w:tcPr>
            <w:tcW w:w="1701" w:type="dxa"/>
            <w:tcBorders>
              <w:right w:val="single" w:color="auto" w:sz="4" w:space="0"/>
            </w:tcBorders>
            <w:vAlign w:val="center"/>
          </w:tcPr>
          <w:p w14:paraId="3FA10A09">
            <w:pPr>
              <w:pStyle w:val="28"/>
              <w:tabs>
                <w:tab w:val="clear" w:pos="4201"/>
                <w:tab w:val="clear" w:pos="9298"/>
              </w:tabs>
              <w:spacing w:line="360" w:lineRule="auto"/>
              <w:ind w:firstLine="0" w:firstLineChars="0"/>
              <w:jc w:val="center"/>
              <w:rPr>
                <w:rFonts w:ascii="Times New Roman"/>
                <w:szCs w:val="21"/>
              </w:rPr>
            </w:pPr>
            <w:r>
              <w:rPr>
                <w:rFonts w:ascii="Times New Roman"/>
                <w:szCs w:val="21"/>
              </w:rPr>
              <w:t>3.102</w:t>
            </w:r>
          </w:p>
        </w:tc>
        <w:tc>
          <w:tcPr>
            <w:tcW w:w="1686" w:type="dxa"/>
            <w:tcBorders>
              <w:left w:val="single" w:color="auto" w:sz="4" w:space="0"/>
            </w:tcBorders>
            <w:vAlign w:val="center"/>
          </w:tcPr>
          <w:p w14:paraId="66C9EEDE">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200ACA9F">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中国产品全生命周期温室气体排放系数库-塑料（平均）-2023</w:t>
            </w:r>
          </w:p>
        </w:tc>
      </w:tr>
      <w:tr w14:paraId="6098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58FF3906">
            <w:pPr>
              <w:pStyle w:val="28"/>
              <w:tabs>
                <w:tab w:val="clear" w:pos="4201"/>
                <w:tab w:val="clear" w:pos="9298"/>
              </w:tabs>
              <w:ind w:firstLine="0" w:firstLineChars="0"/>
              <w:jc w:val="center"/>
              <w:rPr>
                <w:rFonts w:ascii="Times New Roman"/>
                <w:szCs w:val="21"/>
              </w:rPr>
            </w:pPr>
            <w:r>
              <w:rPr>
                <w:rFonts w:ascii="Times New Roman"/>
                <w:szCs w:val="21"/>
              </w:rPr>
              <w:t>PE</w:t>
            </w:r>
          </w:p>
        </w:tc>
        <w:tc>
          <w:tcPr>
            <w:tcW w:w="1701" w:type="dxa"/>
            <w:tcBorders>
              <w:right w:val="single" w:color="auto" w:sz="4" w:space="0"/>
            </w:tcBorders>
            <w:vAlign w:val="center"/>
          </w:tcPr>
          <w:p w14:paraId="523B825B">
            <w:pPr>
              <w:pStyle w:val="28"/>
              <w:tabs>
                <w:tab w:val="clear" w:pos="4201"/>
                <w:tab w:val="clear" w:pos="9298"/>
              </w:tabs>
              <w:spacing w:line="360" w:lineRule="auto"/>
              <w:ind w:firstLine="0" w:firstLineChars="0"/>
              <w:jc w:val="center"/>
              <w:rPr>
                <w:rFonts w:ascii="Times New Roman"/>
                <w:szCs w:val="21"/>
              </w:rPr>
            </w:pPr>
            <w:r>
              <w:rPr>
                <w:rFonts w:ascii="Times New Roman"/>
                <w:szCs w:val="21"/>
              </w:rPr>
              <w:t>4.72</w:t>
            </w:r>
          </w:p>
        </w:tc>
        <w:tc>
          <w:tcPr>
            <w:tcW w:w="1686" w:type="dxa"/>
            <w:tcBorders>
              <w:left w:val="single" w:color="auto" w:sz="4" w:space="0"/>
            </w:tcBorders>
            <w:vAlign w:val="center"/>
          </w:tcPr>
          <w:p w14:paraId="66998C49">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5004BB78">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中国产品全生命周期温室气体排放系数库-塑料（PE）-2022</w:t>
            </w:r>
          </w:p>
        </w:tc>
      </w:tr>
      <w:tr w14:paraId="6AD0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56C8CBDA">
            <w:pPr>
              <w:pStyle w:val="28"/>
              <w:tabs>
                <w:tab w:val="clear" w:pos="4201"/>
                <w:tab w:val="clear" w:pos="9298"/>
              </w:tabs>
              <w:ind w:firstLine="0" w:firstLineChars="0"/>
              <w:jc w:val="center"/>
              <w:rPr>
                <w:rFonts w:ascii="Times New Roman"/>
                <w:szCs w:val="21"/>
              </w:rPr>
            </w:pPr>
            <w:r>
              <w:rPr>
                <w:rFonts w:ascii="Times New Roman"/>
                <w:szCs w:val="21"/>
              </w:rPr>
              <w:t>PET</w:t>
            </w:r>
          </w:p>
        </w:tc>
        <w:tc>
          <w:tcPr>
            <w:tcW w:w="1701" w:type="dxa"/>
            <w:tcBorders>
              <w:right w:val="single" w:color="auto" w:sz="4" w:space="0"/>
            </w:tcBorders>
            <w:vAlign w:val="center"/>
          </w:tcPr>
          <w:p w14:paraId="7041406F">
            <w:pPr>
              <w:pStyle w:val="28"/>
              <w:tabs>
                <w:tab w:val="clear" w:pos="4201"/>
                <w:tab w:val="clear" w:pos="9298"/>
              </w:tabs>
              <w:spacing w:line="360" w:lineRule="auto"/>
              <w:ind w:firstLine="0" w:firstLineChars="0"/>
              <w:jc w:val="center"/>
              <w:rPr>
                <w:rFonts w:ascii="Times New Roman"/>
                <w:szCs w:val="21"/>
              </w:rPr>
            </w:pPr>
            <w:r>
              <w:rPr>
                <w:rFonts w:ascii="Times New Roman"/>
                <w:szCs w:val="21"/>
              </w:rPr>
              <w:t>4.03</w:t>
            </w:r>
          </w:p>
        </w:tc>
        <w:tc>
          <w:tcPr>
            <w:tcW w:w="1686" w:type="dxa"/>
            <w:tcBorders>
              <w:left w:val="single" w:color="auto" w:sz="4" w:space="0"/>
            </w:tcBorders>
            <w:vAlign w:val="center"/>
          </w:tcPr>
          <w:p w14:paraId="714E456B">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1251E527">
            <w:pPr>
              <w:pStyle w:val="28"/>
              <w:ind w:firstLine="0" w:firstLineChars="0"/>
              <w:jc w:val="left"/>
              <w:rPr>
                <w:rFonts w:ascii="Times New Roman"/>
                <w:szCs w:val="21"/>
              </w:rPr>
            </w:pPr>
            <w:r>
              <w:rPr>
                <w:rFonts w:ascii="Times New Roman"/>
                <w:szCs w:val="21"/>
              </w:rPr>
              <w:t>中国产品全生命周期温室气体排放系数库-聚对苯二甲酸乙二醇酯-PET-2021</w:t>
            </w:r>
          </w:p>
        </w:tc>
      </w:tr>
      <w:tr w14:paraId="7C97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2D3E430E">
            <w:pPr>
              <w:pStyle w:val="28"/>
              <w:tabs>
                <w:tab w:val="clear" w:pos="4201"/>
                <w:tab w:val="clear" w:pos="9298"/>
              </w:tabs>
              <w:ind w:firstLine="0" w:firstLineChars="0"/>
              <w:jc w:val="center"/>
              <w:rPr>
                <w:rFonts w:ascii="Times New Roman"/>
                <w:szCs w:val="21"/>
              </w:rPr>
            </w:pPr>
            <w:r>
              <w:rPr>
                <w:rFonts w:ascii="Times New Roman"/>
                <w:szCs w:val="21"/>
              </w:rPr>
              <w:t>无纺布</w:t>
            </w:r>
          </w:p>
        </w:tc>
        <w:tc>
          <w:tcPr>
            <w:tcW w:w="1701" w:type="dxa"/>
            <w:tcBorders>
              <w:right w:val="single" w:color="auto" w:sz="4" w:space="0"/>
            </w:tcBorders>
            <w:vAlign w:val="center"/>
          </w:tcPr>
          <w:p w14:paraId="489F3ED6">
            <w:pPr>
              <w:pStyle w:val="28"/>
              <w:tabs>
                <w:tab w:val="clear" w:pos="4201"/>
                <w:tab w:val="clear" w:pos="9298"/>
              </w:tabs>
              <w:spacing w:line="360" w:lineRule="auto"/>
              <w:ind w:firstLine="0" w:firstLineChars="0"/>
              <w:jc w:val="center"/>
              <w:rPr>
                <w:rFonts w:ascii="Times New Roman"/>
                <w:szCs w:val="21"/>
              </w:rPr>
            </w:pPr>
            <w:r>
              <w:rPr>
                <w:rFonts w:ascii="Times New Roman"/>
                <w:szCs w:val="21"/>
              </w:rPr>
              <w:t>3.82</w:t>
            </w:r>
          </w:p>
        </w:tc>
        <w:tc>
          <w:tcPr>
            <w:tcW w:w="1686" w:type="dxa"/>
            <w:tcBorders>
              <w:left w:val="single" w:color="auto" w:sz="4" w:space="0"/>
            </w:tcBorders>
            <w:vAlign w:val="center"/>
          </w:tcPr>
          <w:p w14:paraId="3160A8DE">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203A6DE9">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中国产品全生命周期温室气体排放系数库-无纺布-2020</w:t>
            </w:r>
          </w:p>
        </w:tc>
      </w:tr>
      <w:tr w14:paraId="5F94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6F56B089">
            <w:pPr>
              <w:pStyle w:val="28"/>
              <w:tabs>
                <w:tab w:val="clear" w:pos="4201"/>
                <w:tab w:val="clear" w:pos="9298"/>
              </w:tabs>
              <w:ind w:firstLine="0" w:firstLineChars="0"/>
              <w:jc w:val="center"/>
              <w:rPr>
                <w:rFonts w:ascii="Times New Roman"/>
                <w:szCs w:val="21"/>
              </w:rPr>
            </w:pPr>
            <w:r>
              <w:rPr>
                <w:rFonts w:ascii="Times New Roman"/>
                <w:szCs w:val="21"/>
              </w:rPr>
              <w:t>PP</w:t>
            </w:r>
          </w:p>
        </w:tc>
        <w:tc>
          <w:tcPr>
            <w:tcW w:w="1701" w:type="dxa"/>
            <w:tcBorders>
              <w:right w:val="single" w:color="auto" w:sz="4" w:space="0"/>
            </w:tcBorders>
            <w:vAlign w:val="center"/>
          </w:tcPr>
          <w:p w14:paraId="6BBF7C9D">
            <w:pPr>
              <w:pStyle w:val="28"/>
              <w:tabs>
                <w:tab w:val="clear" w:pos="4201"/>
                <w:tab w:val="clear" w:pos="9298"/>
              </w:tabs>
              <w:spacing w:line="360" w:lineRule="auto"/>
              <w:ind w:firstLine="0" w:firstLineChars="0"/>
              <w:jc w:val="center"/>
              <w:rPr>
                <w:rFonts w:ascii="Times New Roman"/>
                <w:szCs w:val="21"/>
              </w:rPr>
            </w:pPr>
            <w:r>
              <w:rPr>
                <w:rFonts w:ascii="Times New Roman"/>
                <w:szCs w:val="21"/>
              </w:rPr>
              <w:t>3.43</w:t>
            </w:r>
          </w:p>
        </w:tc>
        <w:tc>
          <w:tcPr>
            <w:tcW w:w="1686" w:type="dxa"/>
            <w:tcBorders>
              <w:left w:val="single" w:color="auto" w:sz="4" w:space="0"/>
            </w:tcBorders>
            <w:vAlign w:val="center"/>
          </w:tcPr>
          <w:p w14:paraId="6AF16B98">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2C1C9530">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中国产品全生命周期温室气体排放系数库-塑料-PP-2022</w:t>
            </w:r>
          </w:p>
        </w:tc>
      </w:tr>
      <w:tr w14:paraId="7CCF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1571CBA1">
            <w:pPr>
              <w:pStyle w:val="28"/>
              <w:tabs>
                <w:tab w:val="clear" w:pos="4201"/>
                <w:tab w:val="clear" w:pos="9298"/>
              </w:tabs>
              <w:ind w:firstLine="0" w:firstLineChars="0"/>
              <w:jc w:val="center"/>
              <w:rPr>
                <w:rFonts w:ascii="Times New Roman"/>
                <w:szCs w:val="21"/>
              </w:rPr>
            </w:pPr>
            <w:r>
              <w:rPr>
                <w:rFonts w:ascii="Times New Roman"/>
                <w:szCs w:val="21"/>
              </w:rPr>
              <w:t>聚丙烯纤</w:t>
            </w:r>
          </w:p>
        </w:tc>
        <w:tc>
          <w:tcPr>
            <w:tcW w:w="1701" w:type="dxa"/>
            <w:tcBorders>
              <w:right w:val="single" w:color="auto" w:sz="4" w:space="0"/>
            </w:tcBorders>
            <w:vAlign w:val="center"/>
          </w:tcPr>
          <w:p w14:paraId="499DA0B7">
            <w:pPr>
              <w:pStyle w:val="28"/>
              <w:tabs>
                <w:tab w:val="clear" w:pos="4201"/>
                <w:tab w:val="clear" w:pos="9298"/>
              </w:tabs>
              <w:spacing w:line="360" w:lineRule="auto"/>
              <w:ind w:firstLine="0" w:firstLineChars="0"/>
              <w:jc w:val="center"/>
              <w:rPr>
                <w:rFonts w:ascii="Times New Roman"/>
                <w:szCs w:val="21"/>
              </w:rPr>
            </w:pPr>
            <w:r>
              <w:rPr>
                <w:rFonts w:ascii="Times New Roman"/>
                <w:szCs w:val="21"/>
              </w:rPr>
              <w:t>0.868</w:t>
            </w:r>
          </w:p>
        </w:tc>
        <w:tc>
          <w:tcPr>
            <w:tcW w:w="1686" w:type="dxa"/>
            <w:tcBorders>
              <w:left w:val="single" w:color="auto" w:sz="4" w:space="0"/>
            </w:tcBorders>
            <w:vAlign w:val="center"/>
          </w:tcPr>
          <w:p w14:paraId="538093A5">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3F2B57AC">
            <w:pPr>
              <w:pStyle w:val="28"/>
              <w:tabs>
                <w:tab w:val="clear" w:pos="4201"/>
                <w:tab w:val="clear" w:pos="9298"/>
              </w:tabs>
              <w:ind w:firstLine="0" w:firstLineChars="0"/>
              <w:jc w:val="left"/>
              <w:rPr>
                <w:rFonts w:ascii="Times New Roman"/>
                <w:szCs w:val="21"/>
              </w:rPr>
            </w:pPr>
            <w:r>
              <w:rPr>
                <w:rFonts w:ascii="Times New Roman"/>
                <w:szCs w:val="21"/>
              </w:rPr>
              <w:t>中国产品全生命周期温室气体排放系数库-聚丙烯-2023</w:t>
            </w:r>
          </w:p>
        </w:tc>
      </w:tr>
      <w:tr w14:paraId="0435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7D60A6DA">
            <w:pPr>
              <w:pStyle w:val="28"/>
              <w:tabs>
                <w:tab w:val="clear" w:pos="4201"/>
                <w:tab w:val="clear" w:pos="9298"/>
              </w:tabs>
              <w:ind w:firstLine="0" w:firstLineChars="0"/>
              <w:jc w:val="center"/>
              <w:rPr>
                <w:rFonts w:ascii="Times New Roman"/>
                <w:szCs w:val="21"/>
              </w:rPr>
            </w:pPr>
            <w:r>
              <w:rPr>
                <w:rFonts w:ascii="Times New Roman"/>
                <w:szCs w:val="21"/>
              </w:rPr>
              <w:t>泡沫</w:t>
            </w:r>
          </w:p>
        </w:tc>
        <w:tc>
          <w:tcPr>
            <w:tcW w:w="1701" w:type="dxa"/>
            <w:tcBorders>
              <w:right w:val="single" w:color="auto" w:sz="4" w:space="0"/>
            </w:tcBorders>
            <w:vAlign w:val="center"/>
          </w:tcPr>
          <w:p w14:paraId="7FEDF14D">
            <w:pPr>
              <w:pStyle w:val="28"/>
              <w:tabs>
                <w:tab w:val="clear" w:pos="4201"/>
                <w:tab w:val="clear" w:pos="9298"/>
              </w:tabs>
              <w:spacing w:line="360" w:lineRule="auto"/>
              <w:ind w:firstLine="0" w:firstLineChars="0"/>
              <w:jc w:val="center"/>
              <w:rPr>
                <w:rFonts w:ascii="Times New Roman"/>
                <w:szCs w:val="21"/>
              </w:rPr>
            </w:pPr>
            <w:r>
              <w:rPr>
                <w:rFonts w:ascii="Times New Roman"/>
                <w:szCs w:val="21"/>
              </w:rPr>
              <w:t>8.43</w:t>
            </w:r>
          </w:p>
        </w:tc>
        <w:tc>
          <w:tcPr>
            <w:tcW w:w="1686" w:type="dxa"/>
            <w:tcBorders>
              <w:left w:val="single" w:color="auto" w:sz="4" w:space="0"/>
            </w:tcBorders>
            <w:vAlign w:val="center"/>
          </w:tcPr>
          <w:p w14:paraId="6C9A0C2F">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e/kg</w:t>
            </w:r>
          </w:p>
        </w:tc>
        <w:tc>
          <w:tcPr>
            <w:tcW w:w="4219" w:type="dxa"/>
            <w:vAlign w:val="center"/>
          </w:tcPr>
          <w:p w14:paraId="664F1DC4">
            <w:pPr>
              <w:pStyle w:val="28"/>
              <w:ind w:firstLine="0" w:firstLineChars="0"/>
              <w:jc w:val="left"/>
              <w:rPr>
                <w:rFonts w:ascii="Times New Roman"/>
                <w:szCs w:val="21"/>
              </w:rPr>
            </w:pPr>
            <w:r>
              <w:rPr>
                <w:rFonts w:ascii="Times New Roman"/>
                <w:szCs w:val="21"/>
              </w:rPr>
              <w:t>中国产品全生命周期温室气体排放系数库-聚苯乙烯泡沫-2010</w:t>
            </w:r>
          </w:p>
        </w:tc>
      </w:tr>
      <w:tr w14:paraId="40F7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271" w:type="dxa"/>
            <w:vAlign w:val="center"/>
          </w:tcPr>
          <w:p w14:paraId="21D43E75">
            <w:pPr>
              <w:pStyle w:val="28"/>
              <w:tabs>
                <w:tab w:val="clear" w:pos="4201"/>
                <w:tab w:val="clear" w:pos="9298"/>
              </w:tabs>
              <w:ind w:firstLine="0" w:firstLineChars="0"/>
              <w:jc w:val="center"/>
              <w:rPr>
                <w:rFonts w:ascii="Times New Roman"/>
                <w:szCs w:val="21"/>
              </w:rPr>
            </w:pPr>
            <w:r>
              <w:rPr>
                <w:rFonts w:ascii="Times New Roman"/>
                <w:szCs w:val="21"/>
              </w:rPr>
              <w:t>纸</w:t>
            </w:r>
          </w:p>
        </w:tc>
        <w:tc>
          <w:tcPr>
            <w:tcW w:w="1701" w:type="dxa"/>
            <w:tcBorders>
              <w:right w:val="single" w:color="auto" w:sz="4" w:space="0"/>
            </w:tcBorders>
            <w:vAlign w:val="center"/>
          </w:tcPr>
          <w:p w14:paraId="666CD336">
            <w:pPr>
              <w:pStyle w:val="28"/>
              <w:spacing w:line="360" w:lineRule="auto"/>
              <w:ind w:firstLine="0" w:firstLineChars="0"/>
              <w:jc w:val="center"/>
              <w:rPr>
                <w:rFonts w:ascii="Times New Roman"/>
                <w:szCs w:val="21"/>
              </w:rPr>
            </w:pPr>
            <w:r>
              <w:rPr>
                <w:rFonts w:ascii="Times New Roman"/>
                <w:szCs w:val="21"/>
              </w:rPr>
              <w:t>1226.79</w:t>
            </w:r>
          </w:p>
        </w:tc>
        <w:tc>
          <w:tcPr>
            <w:tcW w:w="1686" w:type="dxa"/>
            <w:tcBorders>
              <w:left w:val="single" w:color="auto" w:sz="4" w:space="0"/>
            </w:tcBorders>
            <w:vAlign w:val="center"/>
          </w:tcPr>
          <w:p w14:paraId="08493B07">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kgCO2e/t</w:t>
            </w:r>
          </w:p>
        </w:tc>
        <w:tc>
          <w:tcPr>
            <w:tcW w:w="4219" w:type="dxa"/>
            <w:vAlign w:val="center"/>
          </w:tcPr>
          <w:p w14:paraId="77EFAE1B">
            <w:pPr>
              <w:pStyle w:val="28"/>
              <w:ind w:firstLine="0" w:firstLineChars="0"/>
              <w:jc w:val="left"/>
              <w:rPr>
                <w:rFonts w:ascii="Times New Roman"/>
                <w:szCs w:val="21"/>
              </w:rPr>
            </w:pPr>
            <w:r>
              <w:rPr>
                <w:rFonts w:ascii="Times New Roman"/>
                <w:szCs w:val="21"/>
              </w:rPr>
              <w:t>中国产品全生命周期温室气体排放系数库-瓦楞原纸-2019</w:t>
            </w:r>
          </w:p>
        </w:tc>
      </w:tr>
      <w:tr w14:paraId="7C9E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71" w:type="dxa"/>
            <w:vAlign w:val="center"/>
          </w:tcPr>
          <w:p w14:paraId="75C847B3">
            <w:pPr>
              <w:pStyle w:val="28"/>
              <w:tabs>
                <w:tab w:val="clear" w:pos="4201"/>
                <w:tab w:val="clear" w:pos="9298"/>
              </w:tabs>
              <w:ind w:firstLine="0" w:firstLineChars="0"/>
              <w:jc w:val="center"/>
              <w:rPr>
                <w:rFonts w:ascii="Times New Roman"/>
                <w:szCs w:val="21"/>
              </w:rPr>
            </w:pPr>
            <w:r>
              <w:rPr>
                <w:rFonts w:ascii="Times New Roman"/>
                <w:szCs w:val="21"/>
              </w:rPr>
              <w:t>柴油货车，载重量15吨</w:t>
            </w:r>
          </w:p>
        </w:tc>
        <w:tc>
          <w:tcPr>
            <w:tcW w:w="1701" w:type="dxa"/>
            <w:tcBorders>
              <w:right w:val="single" w:color="auto" w:sz="4" w:space="0"/>
            </w:tcBorders>
            <w:vAlign w:val="center"/>
          </w:tcPr>
          <w:p w14:paraId="1F73965D">
            <w:pPr>
              <w:pStyle w:val="28"/>
              <w:tabs>
                <w:tab w:val="clear" w:pos="4201"/>
                <w:tab w:val="clear" w:pos="9298"/>
              </w:tabs>
              <w:spacing w:line="360" w:lineRule="auto"/>
              <w:ind w:firstLine="0" w:firstLineChars="0"/>
              <w:jc w:val="center"/>
              <w:rPr>
                <w:rFonts w:ascii="Times New Roman"/>
                <w:szCs w:val="21"/>
              </w:rPr>
            </w:pPr>
            <w:r>
              <w:rPr>
                <w:rFonts w:ascii="Times New Roman"/>
                <w:szCs w:val="21"/>
              </w:rPr>
              <w:t>0.103</w:t>
            </w:r>
            <w:r>
              <w:rPr>
                <w:rFonts w:ascii="Times New Roman"/>
                <w:b/>
                <w:bCs/>
                <w:szCs w:val="21"/>
              </w:rPr>
              <w:t xml:space="preserve"> </w:t>
            </w:r>
          </w:p>
        </w:tc>
        <w:tc>
          <w:tcPr>
            <w:tcW w:w="1686" w:type="dxa"/>
            <w:tcBorders>
              <w:left w:val="single" w:color="auto" w:sz="4" w:space="0"/>
            </w:tcBorders>
            <w:vAlign w:val="center"/>
          </w:tcPr>
          <w:p w14:paraId="7698B41D">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e/(t·km)</w:t>
            </w:r>
          </w:p>
        </w:tc>
        <w:tc>
          <w:tcPr>
            <w:tcW w:w="4219" w:type="dxa"/>
            <w:vAlign w:val="center"/>
          </w:tcPr>
          <w:p w14:paraId="5B5C17DD">
            <w:pPr>
              <w:pStyle w:val="28"/>
              <w:ind w:firstLine="0" w:firstLineChars="0"/>
              <w:jc w:val="left"/>
              <w:rPr>
                <w:rFonts w:ascii="Times New Roman"/>
                <w:szCs w:val="21"/>
              </w:rPr>
            </w:pPr>
            <w:r>
              <w:rPr>
                <w:rFonts w:ascii="Times New Roman"/>
                <w:szCs w:val="21"/>
              </w:rPr>
              <w:t>中国产品全生命周期温室气体排放系数库-重型柴油货车运输 [16000kg,20000kg]</w:t>
            </w:r>
          </w:p>
          <w:p w14:paraId="46030330">
            <w:pPr>
              <w:pStyle w:val="28"/>
              <w:tabs>
                <w:tab w:val="clear" w:pos="4201"/>
                <w:tab w:val="clear" w:pos="9298"/>
              </w:tabs>
              <w:ind w:firstLine="0" w:firstLineChars="0"/>
              <w:jc w:val="left"/>
              <w:rPr>
                <w:rFonts w:ascii="Times New Roman"/>
                <w:szCs w:val="21"/>
              </w:rPr>
            </w:pPr>
            <w:r>
              <w:rPr>
                <w:rFonts w:ascii="Times New Roman"/>
                <w:szCs w:val="21"/>
              </w:rPr>
              <w:t>-2024年</w:t>
            </w:r>
          </w:p>
        </w:tc>
      </w:tr>
      <w:tr w14:paraId="1699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71" w:type="dxa"/>
            <w:vAlign w:val="center"/>
          </w:tcPr>
          <w:p w14:paraId="6212FBAF">
            <w:pPr>
              <w:pStyle w:val="28"/>
              <w:tabs>
                <w:tab w:val="clear" w:pos="4201"/>
                <w:tab w:val="clear" w:pos="9298"/>
              </w:tabs>
              <w:ind w:firstLine="0" w:firstLineChars="0"/>
              <w:jc w:val="center"/>
              <w:rPr>
                <w:rFonts w:ascii="Times New Roman"/>
                <w:szCs w:val="21"/>
              </w:rPr>
            </w:pPr>
            <w:r>
              <w:rPr>
                <w:rFonts w:ascii="Times New Roman"/>
                <w:szCs w:val="21"/>
              </w:rPr>
              <w:t>柴油货车，载重量30吨</w:t>
            </w:r>
          </w:p>
        </w:tc>
        <w:tc>
          <w:tcPr>
            <w:tcW w:w="1701" w:type="dxa"/>
            <w:tcBorders>
              <w:right w:val="single" w:color="auto" w:sz="4" w:space="0"/>
            </w:tcBorders>
            <w:vAlign w:val="center"/>
          </w:tcPr>
          <w:p w14:paraId="0D4E4903">
            <w:pPr>
              <w:pStyle w:val="28"/>
              <w:tabs>
                <w:tab w:val="clear" w:pos="4201"/>
                <w:tab w:val="clear" w:pos="9298"/>
              </w:tabs>
              <w:spacing w:line="360" w:lineRule="auto"/>
              <w:ind w:firstLine="0" w:firstLineChars="0"/>
              <w:jc w:val="center"/>
              <w:rPr>
                <w:rFonts w:ascii="Times New Roman"/>
                <w:szCs w:val="21"/>
              </w:rPr>
            </w:pPr>
            <w:r>
              <w:rPr>
                <w:rFonts w:ascii="Times New Roman"/>
                <w:szCs w:val="21"/>
              </w:rPr>
              <w:t>0.094</w:t>
            </w:r>
            <w:r>
              <w:rPr>
                <w:rFonts w:ascii="Times New Roman"/>
                <w:b/>
                <w:bCs/>
                <w:szCs w:val="21"/>
              </w:rPr>
              <w:t xml:space="preserve"> </w:t>
            </w:r>
          </w:p>
        </w:tc>
        <w:tc>
          <w:tcPr>
            <w:tcW w:w="1686" w:type="dxa"/>
            <w:tcBorders>
              <w:left w:val="single" w:color="auto" w:sz="4" w:space="0"/>
            </w:tcBorders>
            <w:vAlign w:val="center"/>
          </w:tcPr>
          <w:p w14:paraId="2BBA331D">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e/(t·km)</w:t>
            </w:r>
          </w:p>
        </w:tc>
        <w:tc>
          <w:tcPr>
            <w:tcW w:w="4219" w:type="dxa"/>
            <w:vAlign w:val="center"/>
          </w:tcPr>
          <w:p w14:paraId="31B0693D">
            <w:pPr>
              <w:pStyle w:val="28"/>
              <w:ind w:firstLine="0" w:firstLineChars="0"/>
              <w:jc w:val="left"/>
              <w:rPr>
                <w:rFonts w:ascii="Times New Roman"/>
                <w:szCs w:val="21"/>
              </w:rPr>
            </w:pPr>
            <w:r>
              <w:rPr>
                <w:rFonts w:ascii="Times New Roman"/>
                <w:szCs w:val="21"/>
              </w:rPr>
              <w:t>中国产品全生命周期温室气体排放系数库-重型柴油货车运输 [25000kg,31000kg]</w:t>
            </w:r>
          </w:p>
          <w:p w14:paraId="0F53A2CD">
            <w:pPr>
              <w:pStyle w:val="28"/>
              <w:ind w:firstLine="0" w:firstLineChars="0"/>
              <w:jc w:val="left"/>
              <w:rPr>
                <w:rFonts w:ascii="Times New Roman"/>
                <w:szCs w:val="21"/>
              </w:rPr>
            </w:pPr>
            <w:r>
              <w:rPr>
                <w:rFonts w:ascii="Times New Roman"/>
                <w:szCs w:val="21"/>
              </w:rPr>
              <w:t>-2024年</w:t>
            </w:r>
          </w:p>
        </w:tc>
      </w:tr>
      <w:tr w14:paraId="495DBEDA">
        <w:tblPrEx>
          <w:tblCellMar>
            <w:top w:w="0" w:type="dxa"/>
            <w:left w:w="108" w:type="dxa"/>
            <w:bottom w:w="0" w:type="dxa"/>
            <w:right w:w="108" w:type="dxa"/>
          </w:tblCellMar>
        </w:tblPrEx>
        <w:trPr>
          <w:trHeight w:val="306" w:hRule="atLeast"/>
          <w:jc w:val="center"/>
        </w:trPr>
        <w:tc>
          <w:tcPr>
            <w:tcW w:w="1271" w:type="dxa"/>
            <w:vAlign w:val="center"/>
          </w:tcPr>
          <w:p w14:paraId="143DC756">
            <w:pPr>
              <w:pStyle w:val="28"/>
              <w:tabs>
                <w:tab w:val="clear" w:pos="4201"/>
                <w:tab w:val="clear" w:pos="9298"/>
              </w:tabs>
              <w:ind w:firstLine="0" w:firstLineChars="0"/>
              <w:jc w:val="center"/>
              <w:rPr>
                <w:rFonts w:ascii="Times New Roman"/>
                <w:szCs w:val="21"/>
              </w:rPr>
            </w:pPr>
            <w:r>
              <w:rPr>
                <w:rFonts w:ascii="Times New Roman"/>
                <w:bCs/>
                <w:szCs w:val="21"/>
              </w:rPr>
              <w:t>汽油货车，载重量8吨</w:t>
            </w:r>
          </w:p>
        </w:tc>
        <w:tc>
          <w:tcPr>
            <w:tcW w:w="1701" w:type="dxa"/>
            <w:tcBorders>
              <w:right w:val="single" w:color="auto" w:sz="4" w:space="0"/>
            </w:tcBorders>
            <w:vAlign w:val="center"/>
          </w:tcPr>
          <w:p w14:paraId="2114F74D">
            <w:pPr>
              <w:pStyle w:val="28"/>
              <w:tabs>
                <w:tab w:val="clear" w:pos="4201"/>
                <w:tab w:val="clear" w:pos="9298"/>
              </w:tabs>
              <w:spacing w:line="360" w:lineRule="auto"/>
              <w:ind w:firstLine="0" w:firstLineChars="0"/>
              <w:jc w:val="center"/>
              <w:rPr>
                <w:rFonts w:ascii="Times New Roman"/>
                <w:szCs w:val="21"/>
              </w:rPr>
            </w:pPr>
            <w:r>
              <w:rPr>
                <w:rFonts w:ascii="Times New Roman"/>
                <w:szCs w:val="21"/>
              </w:rPr>
              <w:t>0.115</w:t>
            </w:r>
          </w:p>
        </w:tc>
        <w:tc>
          <w:tcPr>
            <w:tcW w:w="1686" w:type="dxa"/>
            <w:tcBorders>
              <w:left w:val="single" w:color="auto" w:sz="4" w:space="0"/>
            </w:tcBorders>
            <w:vAlign w:val="center"/>
          </w:tcPr>
          <w:p w14:paraId="1C6BFFB2">
            <w:pPr>
              <w:pStyle w:val="28"/>
              <w:tabs>
                <w:tab w:val="clear" w:pos="4201"/>
                <w:tab w:val="clear" w:pos="9298"/>
              </w:tabs>
              <w:spacing w:line="360" w:lineRule="auto"/>
              <w:ind w:firstLine="0" w:firstLineChars="0"/>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e/(t·km)</w:t>
            </w:r>
          </w:p>
        </w:tc>
        <w:tc>
          <w:tcPr>
            <w:tcW w:w="4219" w:type="dxa"/>
            <w:vAlign w:val="center"/>
          </w:tcPr>
          <w:p w14:paraId="3C5FFC45">
            <w:pPr>
              <w:pStyle w:val="28"/>
              <w:ind w:firstLine="0" w:firstLineChars="0"/>
              <w:jc w:val="left"/>
              <w:rPr>
                <w:rFonts w:ascii="Times New Roman"/>
                <w:szCs w:val="21"/>
              </w:rPr>
            </w:pPr>
            <w:r>
              <w:rPr>
                <w:rFonts w:ascii="Times New Roman"/>
                <w:szCs w:val="21"/>
              </w:rPr>
              <w:t>中国产品全生命周期温室气体排放系数库-中型汽油货车运输(载重8t) -2019年</w:t>
            </w:r>
          </w:p>
        </w:tc>
      </w:tr>
      <w:bookmarkEnd w:id="56"/>
    </w:tbl>
    <w:p w14:paraId="73635AC3">
      <w:pPr>
        <w:spacing w:line="360" w:lineRule="auto"/>
        <w:ind w:left="6"/>
        <w:rPr>
          <w:spacing w:val="-3"/>
          <w:szCs w:val="21"/>
        </w:rPr>
      </w:pPr>
    </w:p>
    <w:p w14:paraId="6A0F96D8">
      <w:pPr>
        <w:spacing w:line="360" w:lineRule="auto"/>
        <w:ind w:left="6"/>
        <w:rPr>
          <w:spacing w:val="-3"/>
          <w:szCs w:val="21"/>
        </w:rPr>
      </w:pPr>
      <w:r>
        <w:rPr>
          <w:spacing w:val="-3"/>
          <w:szCs w:val="21"/>
        </w:rPr>
        <w:t>E.4.2 生产阶段的数据收集</w:t>
      </w:r>
    </w:p>
    <w:p w14:paraId="1839B2DF">
      <w:pPr>
        <w:spacing w:line="360" w:lineRule="auto"/>
        <w:ind w:left="3" w:firstLine="360"/>
        <w:rPr>
          <w:bCs/>
          <w:szCs w:val="21"/>
        </w:rPr>
      </w:pPr>
      <w:r>
        <w:rPr>
          <w:spacing w:val="-3"/>
          <w:szCs w:val="21"/>
        </w:rPr>
        <w:t>生产过程的用能设备主要有</w:t>
      </w:r>
      <w:r>
        <w:rPr>
          <w:bCs/>
          <w:szCs w:val="21"/>
        </w:rPr>
        <w:t>商检、线体转动、翻转机、提升机、打包机等，消耗的主要是电力。生产阶段收集的数据包括设备的生产数量、生产过程的能源消耗量以及电力的温室气体排放因子，如表</w:t>
      </w:r>
      <w:r>
        <w:rPr>
          <w:spacing w:val="-3"/>
          <w:szCs w:val="21"/>
        </w:rPr>
        <w:t>E</w:t>
      </w:r>
      <w:r>
        <w:rPr>
          <w:bCs/>
          <w:szCs w:val="21"/>
        </w:rPr>
        <w:t>.3和</w:t>
      </w:r>
      <w:r>
        <w:rPr>
          <w:spacing w:val="-3"/>
          <w:szCs w:val="21"/>
        </w:rPr>
        <w:t>E</w:t>
      </w:r>
      <w:r>
        <w:rPr>
          <w:bCs/>
          <w:szCs w:val="21"/>
        </w:rPr>
        <w:t>.4所示。</w:t>
      </w:r>
    </w:p>
    <w:p w14:paraId="319AD5DA">
      <w:pPr>
        <w:pStyle w:val="28"/>
        <w:tabs>
          <w:tab w:val="clear" w:pos="4201"/>
          <w:tab w:val="clear" w:pos="9298"/>
        </w:tabs>
        <w:spacing w:line="360" w:lineRule="auto"/>
        <w:jc w:val="center"/>
        <w:rPr>
          <w:rFonts w:ascii="Times New Roman" w:eastAsia="黑体"/>
        </w:rPr>
      </w:pPr>
      <w:r>
        <w:rPr>
          <w:rFonts w:ascii="Times New Roman" w:eastAsia="黑体"/>
        </w:rPr>
        <w:t>表E.3 生产阶段的数据收集</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4"/>
        <w:gridCol w:w="2518"/>
        <w:gridCol w:w="2451"/>
        <w:gridCol w:w="1764"/>
      </w:tblGrid>
      <w:tr w14:paraId="341A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2244" w:type="dxa"/>
          </w:tcPr>
          <w:p w14:paraId="1C0AD3C1">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能源类型</w:t>
            </w:r>
          </w:p>
        </w:tc>
        <w:tc>
          <w:tcPr>
            <w:tcW w:w="2518" w:type="dxa"/>
          </w:tcPr>
          <w:p w14:paraId="666A587F">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能源消耗量</w:t>
            </w:r>
          </w:p>
        </w:tc>
        <w:tc>
          <w:tcPr>
            <w:tcW w:w="2451" w:type="dxa"/>
          </w:tcPr>
          <w:p w14:paraId="18D1E19F">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生产产品数量</w:t>
            </w:r>
          </w:p>
        </w:tc>
        <w:tc>
          <w:tcPr>
            <w:tcW w:w="1764" w:type="dxa"/>
          </w:tcPr>
          <w:p w14:paraId="46C9504D">
            <w:pPr>
              <w:pStyle w:val="28"/>
              <w:tabs>
                <w:tab w:val="clear" w:pos="4201"/>
                <w:tab w:val="clear" w:pos="9298"/>
              </w:tabs>
              <w:spacing w:line="360" w:lineRule="auto"/>
              <w:ind w:firstLine="0" w:firstLineChars="0"/>
              <w:jc w:val="center"/>
              <w:rPr>
                <w:rFonts w:ascii="Times New Roman"/>
                <w:b/>
                <w:bCs/>
                <w:szCs w:val="18"/>
              </w:rPr>
            </w:pPr>
            <w:r>
              <w:rPr>
                <w:rFonts w:ascii="Times New Roman"/>
                <w:b/>
                <w:bCs/>
                <w:szCs w:val="18"/>
              </w:rPr>
              <w:t>数据来源</w:t>
            </w:r>
          </w:p>
        </w:tc>
      </w:tr>
      <w:tr w14:paraId="02F08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2244" w:type="dxa"/>
          </w:tcPr>
          <w:p w14:paraId="7607C22A">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电力</w:t>
            </w:r>
          </w:p>
        </w:tc>
        <w:tc>
          <w:tcPr>
            <w:tcW w:w="2518" w:type="dxa"/>
          </w:tcPr>
          <w:p w14:paraId="22B0A970">
            <w:pPr>
              <w:pStyle w:val="28"/>
              <w:tabs>
                <w:tab w:val="clear" w:pos="4201"/>
                <w:tab w:val="clear" w:pos="9298"/>
              </w:tabs>
              <w:spacing w:line="360" w:lineRule="auto"/>
              <w:ind w:firstLine="0" w:firstLineChars="0"/>
              <w:jc w:val="center"/>
              <w:rPr>
                <w:rFonts w:ascii="Times New Roman"/>
                <w:szCs w:val="18"/>
              </w:rPr>
            </w:pPr>
            <w:r>
              <w:rPr>
                <w:rFonts w:ascii="Times New Roman"/>
                <w:bCs/>
                <w:szCs w:val="21"/>
              </w:rPr>
              <w:t>245 kWh</w:t>
            </w:r>
          </w:p>
        </w:tc>
        <w:tc>
          <w:tcPr>
            <w:tcW w:w="2451" w:type="dxa"/>
          </w:tcPr>
          <w:p w14:paraId="6E6101FB">
            <w:pPr>
              <w:pStyle w:val="28"/>
              <w:tabs>
                <w:tab w:val="clear" w:pos="4201"/>
                <w:tab w:val="clear" w:pos="9298"/>
              </w:tabs>
              <w:spacing w:line="360" w:lineRule="auto"/>
              <w:ind w:firstLine="0" w:firstLineChars="0"/>
              <w:jc w:val="center"/>
              <w:rPr>
                <w:rFonts w:ascii="Times New Roman"/>
                <w:szCs w:val="18"/>
              </w:rPr>
            </w:pPr>
            <w:r>
              <w:rPr>
                <w:rFonts w:ascii="Times New Roman"/>
                <w:szCs w:val="18"/>
              </w:rPr>
              <w:t>190台</w:t>
            </w:r>
          </w:p>
        </w:tc>
        <w:tc>
          <w:tcPr>
            <w:tcW w:w="1764" w:type="dxa"/>
          </w:tcPr>
          <w:p w14:paraId="1A95E14A">
            <w:pPr>
              <w:pStyle w:val="28"/>
              <w:tabs>
                <w:tab w:val="clear" w:pos="4201"/>
                <w:tab w:val="clear" w:pos="9298"/>
              </w:tabs>
              <w:spacing w:line="360" w:lineRule="auto"/>
              <w:ind w:firstLine="0" w:firstLineChars="0"/>
              <w:jc w:val="center"/>
              <w:rPr>
                <w:rFonts w:ascii="Times New Roman"/>
                <w:szCs w:val="18"/>
              </w:rPr>
            </w:pPr>
            <w:r>
              <w:rPr>
                <w:rFonts w:ascii="Times New Roman"/>
                <w:szCs w:val="18"/>
              </w:rPr>
              <w:t>企业生产台帐</w:t>
            </w:r>
          </w:p>
        </w:tc>
      </w:tr>
    </w:tbl>
    <w:p w14:paraId="420768A3">
      <w:pPr>
        <w:pStyle w:val="28"/>
        <w:tabs>
          <w:tab w:val="clear" w:pos="4201"/>
          <w:tab w:val="clear" w:pos="9298"/>
        </w:tabs>
        <w:spacing w:line="360" w:lineRule="auto"/>
        <w:jc w:val="center"/>
        <w:rPr>
          <w:rFonts w:ascii="Times New Roman" w:eastAsia="黑体"/>
        </w:rPr>
      </w:pPr>
    </w:p>
    <w:p w14:paraId="25B1325C">
      <w:pPr>
        <w:pStyle w:val="28"/>
        <w:tabs>
          <w:tab w:val="clear" w:pos="4201"/>
          <w:tab w:val="clear" w:pos="9298"/>
        </w:tabs>
        <w:spacing w:line="360" w:lineRule="auto"/>
        <w:jc w:val="center"/>
        <w:rPr>
          <w:rFonts w:ascii="Times New Roman" w:eastAsia="黑体"/>
        </w:rPr>
      </w:pPr>
      <w:r>
        <w:rPr>
          <w:rFonts w:ascii="Times New Roman" w:eastAsia="黑体"/>
        </w:rPr>
        <w:t>表E.4 电力温室气体排放因子数据收集</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7"/>
        <w:gridCol w:w="1723"/>
        <w:gridCol w:w="1708"/>
        <w:gridCol w:w="4275"/>
      </w:tblGrid>
      <w:tr w14:paraId="67363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287" w:type="dxa"/>
            <w:vMerge w:val="restart"/>
            <w:vAlign w:val="center"/>
          </w:tcPr>
          <w:p w14:paraId="022AD538">
            <w:pPr>
              <w:pStyle w:val="28"/>
              <w:ind w:firstLine="0" w:firstLineChars="0"/>
              <w:jc w:val="center"/>
              <w:rPr>
                <w:rFonts w:ascii="Times New Roman"/>
                <w:b/>
                <w:bCs/>
                <w:szCs w:val="21"/>
              </w:rPr>
            </w:pPr>
            <w:r>
              <w:rPr>
                <w:rFonts w:ascii="Times New Roman"/>
                <w:b/>
                <w:bCs/>
                <w:szCs w:val="21"/>
              </w:rPr>
              <w:t>名称</w:t>
            </w:r>
          </w:p>
        </w:tc>
        <w:tc>
          <w:tcPr>
            <w:tcW w:w="3431" w:type="dxa"/>
            <w:gridSpan w:val="2"/>
            <w:vAlign w:val="center"/>
          </w:tcPr>
          <w:p w14:paraId="40426590">
            <w:pPr>
              <w:pStyle w:val="28"/>
              <w:tabs>
                <w:tab w:val="clear" w:pos="4201"/>
                <w:tab w:val="clear" w:pos="9298"/>
              </w:tabs>
              <w:ind w:firstLine="0" w:firstLineChars="0"/>
              <w:jc w:val="center"/>
              <w:rPr>
                <w:rFonts w:ascii="Times New Roman"/>
                <w:b/>
                <w:bCs/>
                <w:szCs w:val="21"/>
              </w:rPr>
            </w:pPr>
            <w:r>
              <w:rPr>
                <w:rFonts w:ascii="Times New Roman"/>
                <w:b/>
                <w:bCs/>
                <w:szCs w:val="21"/>
              </w:rPr>
              <w:t>温室气体排放因子</w:t>
            </w:r>
          </w:p>
        </w:tc>
        <w:tc>
          <w:tcPr>
            <w:tcW w:w="4275" w:type="dxa"/>
            <w:vMerge w:val="restart"/>
            <w:vAlign w:val="center"/>
          </w:tcPr>
          <w:p w14:paraId="4E3F2333">
            <w:pPr>
              <w:pStyle w:val="28"/>
              <w:ind w:firstLine="422"/>
              <w:jc w:val="center"/>
              <w:rPr>
                <w:rFonts w:ascii="Times New Roman"/>
                <w:b/>
                <w:bCs/>
                <w:szCs w:val="21"/>
              </w:rPr>
            </w:pPr>
            <w:r>
              <w:rPr>
                <w:rFonts w:ascii="Times New Roman"/>
                <w:b/>
                <w:bCs/>
                <w:szCs w:val="21"/>
              </w:rPr>
              <w:t>数据来源</w:t>
            </w:r>
          </w:p>
        </w:tc>
      </w:tr>
      <w:tr w14:paraId="2592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287" w:type="dxa"/>
            <w:vMerge w:val="continue"/>
            <w:tcBorders>
              <w:bottom w:val="single" w:color="000000" w:sz="4" w:space="0"/>
            </w:tcBorders>
            <w:vAlign w:val="center"/>
          </w:tcPr>
          <w:p w14:paraId="26C99BE4">
            <w:pPr>
              <w:pStyle w:val="28"/>
              <w:tabs>
                <w:tab w:val="clear" w:pos="4201"/>
                <w:tab w:val="clear" w:pos="9298"/>
              </w:tabs>
              <w:ind w:firstLine="0" w:firstLineChars="0"/>
              <w:jc w:val="center"/>
              <w:rPr>
                <w:rFonts w:ascii="Times New Roman"/>
                <w:b/>
                <w:bCs/>
                <w:szCs w:val="21"/>
              </w:rPr>
            </w:pPr>
          </w:p>
        </w:tc>
        <w:tc>
          <w:tcPr>
            <w:tcW w:w="1723" w:type="dxa"/>
            <w:tcBorders>
              <w:bottom w:val="single" w:color="000000" w:sz="4" w:space="0"/>
              <w:right w:val="single" w:color="auto" w:sz="4" w:space="0"/>
            </w:tcBorders>
            <w:vAlign w:val="center"/>
          </w:tcPr>
          <w:p w14:paraId="1F6E36BF">
            <w:pPr>
              <w:pStyle w:val="28"/>
              <w:tabs>
                <w:tab w:val="clear" w:pos="4201"/>
                <w:tab w:val="clear" w:pos="9298"/>
              </w:tabs>
              <w:ind w:firstLine="0" w:firstLineChars="0"/>
              <w:jc w:val="center"/>
              <w:rPr>
                <w:rFonts w:ascii="Times New Roman"/>
                <w:b/>
                <w:bCs/>
                <w:szCs w:val="21"/>
              </w:rPr>
            </w:pPr>
            <w:r>
              <w:rPr>
                <w:rFonts w:ascii="Times New Roman"/>
                <w:b/>
                <w:bCs/>
                <w:szCs w:val="21"/>
              </w:rPr>
              <w:t>数值</w:t>
            </w:r>
          </w:p>
        </w:tc>
        <w:tc>
          <w:tcPr>
            <w:tcW w:w="1708" w:type="dxa"/>
            <w:tcBorders>
              <w:left w:val="single" w:color="auto" w:sz="4" w:space="0"/>
              <w:bottom w:val="single" w:color="000000" w:sz="4" w:space="0"/>
            </w:tcBorders>
            <w:vAlign w:val="center"/>
          </w:tcPr>
          <w:p w14:paraId="62370AB6">
            <w:pPr>
              <w:pStyle w:val="28"/>
              <w:tabs>
                <w:tab w:val="clear" w:pos="4201"/>
                <w:tab w:val="clear" w:pos="9298"/>
              </w:tabs>
              <w:ind w:firstLine="0" w:firstLineChars="0"/>
              <w:jc w:val="center"/>
              <w:rPr>
                <w:rFonts w:ascii="Times New Roman"/>
                <w:b/>
                <w:bCs/>
                <w:szCs w:val="21"/>
              </w:rPr>
            </w:pPr>
            <w:r>
              <w:rPr>
                <w:rFonts w:ascii="Times New Roman"/>
                <w:b/>
                <w:bCs/>
                <w:szCs w:val="21"/>
              </w:rPr>
              <w:t>单位</w:t>
            </w:r>
          </w:p>
        </w:tc>
        <w:tc>
          <w:tcPr>
            <w:tcW w:w="4275" w:type="dxa"/>
            <w:vMerge w:val="continue"/>
            <w:tcBorders>
              <w:bottom w:val="single" w:color="000000" w:sz="4" w:space="0"/>
            </w:tcBorders>
            <w:vAlign w:val="center"/>
          </w:tcPr>
          <w:p w14:paraId="74A2D356">
            <w:pPr>
              <w:pStyle w:val="28"/>
              <w:tabs>
                <w:tab w:val="clear" w:pos="4201"/>
                <w:tab w:val="clear" w:pos="9298"/>
              </w:tabs>
              <w:ind w:firstLine="0" w:firstLineChars="0"/>
              <w:jc w:val="center"/>
              <w:rPr>
                <w:rFonts w:ascii="Times New Roman"/>
                <w:b/>
                <w:bCs/>
                <w:szCs w:val="21"/>
              </w:rPr>
            </w:pPr>
          </w:p>
        </w:tc>
      </w:tr>
      <w:tr w14:paraId="6761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287" w:type="dxa"/>
            <w:vAlign w:val="center"/>
          </w:tcPr>
          <w:p w14:paraId="016BAE06">
            <w:pPr>
              <w:pStyle w:val="28"/>
              <w:tabs>
                <w:tab w:val="clear" w:pos="4201"/>
                <w:tab w:val="clear" w:pos="9298"/>
              </w:tabs>
              <w:ind w:firstLine="0" w:firstLineChars="0"/>
              <w:jc w:val="center"/>
              <w:rPr>
                <w:rFonts w:ascii="Times New Roman"/>
                <w:szCs w:val="21"/>
              </w:rPr>
            </w:pPr>
            <w:r>
              <w:rPr>
                <w:rFonts w:ascii="Times New Roman"/>
                <w:szCs w:val="21"/>
              </w:rPr>
              <w:t>电力</w:t>
            </w:r>
          </w:p>
        </w:tc>
        <w:tc>
          <w:tcPr>
            <w:tcW w:w="1723" w:type="dxa"/>
            <w:tcBorders>
              <w:right w:val="single" w:color="auto" w:sz="4" w:space="0"/>
            </w:tcBorders>
            <w:vAlign w:val="center"/>
          </w:tcPr>
          <w:p w14:paraId="1AFFDC2C">
            <w:pPr>
              <w:spacing w:line="320" w:lineRule="exact"/>
              <w:jc w:val="center"/>
              <w:rPr>
                <w:rFonts w:ascii="Times New Roman"/>
                <w:szCs w:val="21"/>
              </w:rPr>
            </w:pPr>
            <w:r>
              <w:rPr>
                <w:rFonts w:ascii="Times New Roman"/>
                <w:szCs w:val="21"/>
              </w:rPr>
              <w:t>0.5366</w:t>
            </w:r>
          </w:p>
        </w:tc>
        <w:tc>
          <w:tcPr>
            <w:tcW w:w="1708" w:type="dxa"/>
            <w:tcBorders>
              <w:left w:val="single" w:color="auto" w:sz="4" w:space="0"/>
            </w:tcBorders>
            <w:vAlign w:val="center"/>
          </w:tcPr>
          <w:p w14:paraId="64AE3C1B">
            <w:pPr>
              <w:spacing w:line="320" w:lineRule="exact"/>
              <w:jc w:val="center"/>
              <w:rPr>
                <w:rFonts w:ascii="Times New Roman"/>
                <w:szCs w:val="21"/>
              </w:rPr>
            </w:pPr>
            <w:r>
              <w:rPr>
                <w:rFonts w:ascii="Times New Roman"/>
                <w:szCs w:val="21"/>
              </w:rPr>
              <w:t>kgCO</w:t>
            </w:r>
            <w:r>
              <w:rPr>
                <w:rFonts w:ascii="Times New Roman"/>
                <w:szCs w:val="21"/>
                <w:vertAlign w:val="subscript"/>
              </w:rPr>
              <w:t>2</w:t>
            </w:r>
            <w:r>
              <w:rPr>
                <w:rFonts w:ascii="Times New Roman"/>
                <w:szCs w:val="21"/>
              </w:rPr>
              <w:t>e/kWh</w:t>
            </w:r>
          </w:p>
        </w:tc>
        <w:tc>
          <w:tcPr>
            <w:tcW w:w="4275" w:type="dxa"/>
            <w:vAlign w:val="center"/>
          </w:tcPr>
          <w:p w14:paraId="0B44BF07">
            <w:pPr>
              <w:pStyle w:val="28"/>
              <w:tabs>
                <w:tab w:val="clear" w:pos="4201"/>
                <w:tab w:val="clear" w:pos="9298"/>
              </w:tabs>
              <w:ind w:firstLine="0" w:firstLineChars="0"/>
              <w:jc w:val="left"/>
              <w:rPr>
                <w:rFonts w:ascii="Times New Roman"/>
                <w:szCs w:val="21"/>
              </w:rPr>
            </w:pPr>
            <w:r>
              <w:rPr>
                <w:rFonts w:ascii="Times New Roman"/>
                <w:szCs w:val="21"/>
              </w:rPr>
              <w:t>国家温室气体排放因子数据库-全国电力平均二氧化碳排放-2022</w:t>
            </w:r>
          </w:p>
        </w:tc>
      </w:tr>
    </w:tbl>
    <w:p w14:paraId="000F8F0D">
      <w:pPr>
        <w:pStyle w:val="28"/>
        <w:tabs>
          <w:tab w:val="clear" w:pos="4201"/>
          <w:tab w:val="clear" w:pos="9298"/>
        </w:tabs>
        <w:spacing w:line="360" w:lineRule="auto"/>
        <w:ind w:firstLine="0" w:firstLineChars="0"/>
        <w:rPr>
          <w:rFonts w:ascii="Times New Roman" w:eastAsia="黑体"/>
        </w:rPr>
      </w:pPr>
    </w:p>
    <w:p w14:paraId="5C9B9479">
      <w:pPr>
        <w:spacing w:line="360" w:lineRule="auto"/>
        <w:ind w:left="6"/>
        <w:rPr>
          <w:b/>
          <w:bCs/>
          <w:spacing w:val="-3"/>
          <w:szCs w:val="21"/>
        </w:rPr>
      </w:pPr>
      <w:r>
        <w:rPr>
          <w:b/>
          <w:bCs/>
          <w:spacing w:val="-3"/>
          <w:szCs w:val="21"/>
        </w:rPr>
        <w:t>E.5 碳足迹计算</w:t>
      </w:r>
    </w:p>
    <w:p w14:paraId="3A98B70E">
      <w:pPr>
        <w:spacing w:line="360" w:lineRule="auto"/>
        <w:ind w:firstLine="420" w:firstLineChars="200"/>
      </w:pPr>
      <w:r>
        <w:t>根据收集的数据，依据本标准第7.2和7.3碳足迹的计算方法进行原材料获取阶段和生产阶段的碳足迹计算，计算结果如表E.5所示。</w:t>
      </w:r>
    </w:p>
    <w:p w14:paraId="173D0515">
      <w:pPr>
        <w:spacing w:line="360" w:lineRule="auto"/>
        <w:ind w:left="6" w:firstLine="408" w:firstLineChars="200"/>
        <w:rPr>
          <w:spacing w:val="-3"/>
          <w:szCs w:val="21"/>
        </w:rPr>
      </w:pPr>
      <w:r>
        <w:rPr>
          <w:spacing w:val="-3"/>
          <w:szCs w:val="21"/>
        </w:rPr>
        <w:t>原材料获取阶段碳足迹的计算，由于原材料供应商难以提供零部件的碳足迹且在国家相关碳足迹数据库中无法获得零部件的碳足迹，因此由零部件供应商提供了零部件的各类原材料占比，由此获得各类原材料的重量，再根据原材料的温室气体排放因子，计算得到零部件的碳足迹。此计算没有考虑零部件生产过程的碳足迹。</w:t>
      </w:r>
    </w:p>
    <w:p w14:paraId="3F436315">
      <w:pPr>
        <w:spacing w:line="360" w:lineRule="auto"/>
        <w:ind w:left="6" w:firstLine="408" w:firstLineChars="200"/>
        <w:rPr>
          <w:spacing w:val="-3"/>
          <w:szCs w:val="21"/>
        </w:rPr>
      </w:pPr>
      <w:r>
        <w:rPr>
          <w:spacing w:val="-3"/>
          <w:szCs w:val="21"/>
        </w:rPr>
        <w:t>生产阶段碳足迹的计算，因无法获取</w:t>
      </w:r>
      <w:r>
        <w:rPr>
          <w:kern w:val="0"/>
          <w:szCs w:val="20"/>
        </w:rPr>
        <w:t>生产场所供暖空调、照明等环境控制设施的能源消耗量，因此计算只包含了产品生产各个过程的碳足迹。</w:t>
      </w:r>
    </w:p>
    <w:p w14:paraId="37E6823E">
      <w:pPr>
        <w:spacing w:line="360" w:lineRule="auto"/>
        <w:ind w:firstLine="420" w:firstLineChars="200"/>
        <w:jc w:val="center"/>
        <w:rPr>
          <w:rFonts w:eastAsia="黑体"/>
          <w:kern w:val="0"/>
          <w:szCs w:val="20"/>
        </w:rPr>
      </w:pPr>
      <w:r>
        <w:rPr>
          <w:rFonts w:eastAsia="黑体"/>
          <w:kern w:val="0"/>
          <w:szCs w:val="20"/>
        </w:rPr>
        <w:t>表E.5 碳足迹计算结果</w:t>
      </w:r>
    </w:p>
    <w:tbl>
      <w:tblPr>
        <w:tblStyle w:val="39"/>
        <w:tblW w:w="87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559"/>
        <w:gridCol w:w="1417"/>
        <w:gridCol w:w="1418"/>
        <w:gridCol w:w="1450"/>
        <w:gridCol w:w="1385"/>
      </w:tblGrid>
      <w:tr w14:paraId="274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550" w:type="dxa"/>
            <w:vMerge w:val="restart"/>
            <w:vAlign w:val="center"/>
          </w:tcPr>
          <w:p w14:paraId="2E89052E">
            <w:pPr>
              <w:pStyle w:val="165"/>
              <w:spacing w:after="0"/>
              <w:jc w:val="center"/>
              <w:rPr>
                <w:rFonts w:ascii="Times New Roman" w:hAnsi="Times New Roman" w:cs="Times New Roman"/>
                <w:b/>
                <w:bCs/>
                <w:spacing w:val="-2"/>
                <w:sz w:val="21"/>
                <w:szCs w:val="21"/>
              </w:rPr>
            </w:pPr>
            <w:r>
              <w:rPr>
                <w:rFonts w:ascii="Times New Roman" w:hAnsi="Times New Roman" w:cs="Times New Roman"/>
                <w:b/>
                <w:bCs/>
                <w:spacing w:val="-2"/>
                <w:sz w:val="21"/>
                <w:szCs w:val="21"/>
              </w:rPr>
              <w:t>生命周期阶段</w:t>
            </w:r>
          </w:p>
        </w:tc>
        <w:tc>
          <w:tcPr>
            <w:tcW w:w="1559" w:type="dxa"/>
            <w:vMerge w:val="restart"/>
            <w:vAlign w:val="center"/>
          </w:tcPr>
          <w:p w14:paraId="59987519">
            <w:pPr>
              <w:pStyle w:val="165"/>
              <w:spacing w:after="0"/>
              <w:jc w:val="center"/>
              <w:rPr>
                <w:rFonts w:ascii="Times New Roman" w:hAnsi="Times New Roman" w:cs="Times New Roman"/>
                <w:b/>
                <w:bCs/>
                <w:spacing w:val="-2"/>
                <w:sz w:val="21"/>
                <w:szCs w:val="21"/>
                <w:lang w:eastAsia="zh-CN"/>
              </w:rPr>
            </w:pPr>
            <w:r>
              <w:rPr>
                <w:rFonts w:ascii="Times New Roman" w:hAnsi="Times New Roman" w:cs="Times New Roman"/>
                <w:b/>
                <w:bCs/>
                <w:spacing w:val="-2"/>
                <w:sz w:val="21"/>
                <w:szCs w:val="21"/>
                <w:lang w:eastAsia="zh-CN"/>
              </w:rPr>
              <w:t>名称</w:t>
            </w:r>
          </w:p>
        </w:tc>
        <w:tc>
          <w:tcPr>
            <w:tcW w:w="2835" w:type="dxa"/>
            <w:gridSpan w:val="2"/>
            <w:vAlign w:val="center"/>
          </w:tcPr>
          <w:p w14:paraId="1CB3582E">
            <w:pPr>
              <w:pStyle w:val="165"/>
              <w:spacing w:after="0"/>
              <w:jc w:val="center"/>
              <w:rPr>
                <w:rFonts w:ascii="Times New Roman" w:hAnsi="Times New Roman" w:cs="Times New Roman"/>
                <w:b/>
                <w:bCs/>
                <w:spacing w:val="-2"/>
                <w:sz w:val="21"/>
                <w:szCs w:val="21"/>
                <w:lang w:eastAsia="zh-CN"/>
              </w:rPr>
            </w:pPr>
            <w:r>
              <w:rPr>
                <w:rFonts w:ascii="Times New Roman" w:hAnsi="Times New Roman" w:cs="Times New Roman"/>
                <w:b/>
                <w:bCs/>
                <w:spacing w:val="-2"/>
                <w:sz w:val="21"/>
                <w:szCs w:val="21"/>
                <w:lang w:eastAsia="zh-CN"/>
              </w:rPr>
              <w:t>碳足迹</w:t>
            </w:r>
            <w:r>
              <w:rPr>
                <w:rFonts w:ascii="Times New Roman" w:hAnsi="Times New Roman" w:cs="Times New Roman"/>
                <w:b/>
                <w:bCs/>
                <w:sz w:val="21"/>
                <w:szCs w:val="21"/>
              </w:rPr>
              <w:t>kgCO</w:t>
            </w:r>
            <w:r>
              <w:rPr>
                <w:rFonts w:ascii="Times New Roman" w:hAnsi="Times New Roman" w:cs="Times New Roman"/>
                <w:b/>
                <w:bCs/>
                <w:sz w:val="21"/>
                <w:szCs w:val="21"/>
                <w:vertAlign w:val="subscript"/>
              </w:rPr>
              <w:t>2</w:t>
            </w:r>
            <w:r>
              <w:rPr>
                <w:rFonts w:ascii="Times New Roman" w:hAnsi="Times New Roman" w:cs="Times New Roman"/>
                <w:b/>
                <w:bCs/>
                <w:sz w:val="21"/>
                <w:szCs w:val="21"/>
                <w:lang w:eastAsia="zh-CN"/>
              </w:rPr>
              <w:t>e</w:t>
            </w:r>
            <w:r>
              <w:rPr>
                <w:rFonts w:ascii="Times New Roman" w:hAnsi="Times New Roman" w:cs="Times New Roman"/>
                <w:b/>
                <w:bCs/>
                <w:spacing w:val="-2"/>
                <w:sz w:val="21"/>
                <w:szCs w:val="21"/>
                <w:lang w:eastAsia="zh-CN"/>
              </w:rPr>
              <w:t>/台</w:t>
            </w:r>
          </w:p>
        </w:tc>
        <w:tc>
          <w:tcPr>
            <w:tcW w:w="1450" w:type="dxa"/>
            <w:vMerge w:val="restart"/>
            <w:vAlign w:val="center"/>
          </w:tcPr>
          <w:p w14:paraId="6D28E429">
            <w:pPr>
              <w:pStyle w:val="165"/>
              <w:spacing w:after="0"/>
              <w:jc w:val="center"/>
              <w:rPr>
                <w:rFonts w:ascii="Times New Roman" w:hAnsi="Times New Roman" w:cs="Times New Roman"/>
                <w:b/>
                <w:bCs/>
                <w:spacing w:val="-2"/>
                <w:sz w:val="21"/>
                <w:szCs w:val="21"/>
                <w:lang w:eastAsia="zh-CN"/>
              </w:rPr>
            </w:pPr>
            <w:r>
              <w:rPr>
                <w:rFonts w:ascii="Times New Roman" w:hAnsi="Times New Roman" w:cs="Times New Roman"/>
                <w:b/>
                <w:bCs/>
                <w:spacing w:val="-2"/>
                <w:sz w:val="21"/>
                <w:szCs w:val="21"/>
                <w:lang w:eastAsia="zh-CN"/>
              </w:rPr>
              <w:t>碳足迹</w:t>
            </w:r>
            <w:r>
              <w:rPr>
                <w:rFonts w:ascii="Times New Roman" w:hAnsi="Times New Roman" w:cs="Times New Roman"/>
                <w:b/>
                <w:bCs/>
                <w:sz w:val="21"/>
                <w:szCs w:val="21"/>
              </w:rPr>
              <w:t>kg</w:t>
            </w:r>
            <w:bookmarkStart w:id="57" w:name="OLE_LINK14"/>
            <w:r>
              <w:rPr>
                <w:rFonts w:ascii="Times New Roman" w:hAnsi="Times New Roman" w:cs="Times New Roman"/>
                <w:b/>
                <w:bCs/>
                <w:sz w:val="21"/>
                <w:szCs w:val="21"/>
              </w:rPr>
              <w:t>CO</w:t>
            </w:r>
            <w:r>
              <w:rPr>
                <w:rFonts w:ascii="Times New Roman" w:hAnsi="Times New Roman" w:cs="Times New Roman"/>
                <w:b/>
                <w:bCs/>
                <w:sz w:val="21"/>
                <w:szCs w:val="21"/>
                <w:vertAlign w:val="subscript"/>
              </w:rPr>
              <w:t>2</w:t>
            </w:r>
            <w:bookmarkEnd w:id="57"/>
            <w:r>
              <w:rPr>
                <w:rFonts w:ascii="Times New Roman" w:hAnsi="Times New Roman" w:cs="Times New Roman"/>
                <w:b/>
                <w:bCs/>
                <w:sz w:val="21"/>
                <w:szCs w:val="21"/>
                <w:lang w:eastAsia="zh-CN"/>
              </w:rPr>
              <w:t>e</w:t>
            </w:r>
            <w:r>
              <w:rPr>
                <w:rFonts w:ascii="Times New Roman" w:hAnsi="Times New Roman" w:cs="Times New Roman"/>
                <w:b/>
                <w:bCs/>
                <w:spacing w:val="-2"/>
                <w:sz w:val="21"/>
                <w:szCs w:val="21"/>
                <w:lang w:eastAsia="zh-CN"/>
              </w:rPr>
              <w:t>/(m</w:t>
            </w:r>
            <w:r>
              <w:rPr>
                <w:rFonts w:ascii="Times New Roman" w:hAnsi="Times New Roman" w:cs="Times New Roman"/>
                <w:b/>
                <w:bCs/>
                <w:spacing w:val="-2"/>
                <w:sz w:val="21"/>
                <w:szCs w:val="21"/>
                <w:vertAlign w:val="superscript"/>
                <w:lang w:eastAsia="zh-CN"/>
              </w:rPr>
              <w:t>3</w:t>
            </w:r>
            <w:r>
              <w:rPr>
                <w:rFonts w:ascii="Times New Roman" w:hAnsi="Times New Roman" w:cs="Times New Roman"/>
                <w:b/>
                <w:bCs/>
                <w:spacing w:val="-2"/>
                <w:sz w:val="21"/>
                <w:szCs w:val="21"/>
                <w:lang w:eastAsia="zh-CN"/>
              </w:rPr>
              <w:t>/h)</w:t>
            </w:r>
          </w:p>
        </w:tc>
        <w:tc>
          <w:tcPr>
            <w:tcW w:w="1385" w:type="dxa"/>
            <w:vMerge w:val="restart"/>
            <w:vAlign w:val="center"/>
          </w:tcPr>
          <w:p w14:paraId="2C2CEFA2">
            <w:pPr>
              <w:pStyle w:val="165"/>
              <w:spacing w:after="0"/>
              <w:jc w:val="center"/>
              <w:rPr>
                <w:rFonts w:ascii="Times New Roman" w:hAnsi="Times New Roman" w:cs="Times New Roman"/>
                <w:b/>
                <w:bCs/>
                <w:spacing w:val="-2"/>
                <w:sz w:val="21"/>
                <w:szCs w:val="21"/>
                <w:lang w:eastAsia="zh-CN"/>
              </w:rPr>
            </w:pPr>
            <w:r>
              <w:rPr>
                <w:rFonts w:ascii="Times New Roman" w:hAnsi="Times New Roman" w:cs="Times New Roman"/>
                <w:b/>
                <w:bCs/>
                <w:spacing w:val="-2"/>
                <w:sz w:val="21"/>
                <w:szCs w:val="21"/>
                <w:lang w:eastAsia="zh-CN"/>
              </w:rPr>
              <w:t>百分比（%）</w:t>
            </w:r>
          </w:p>
        </w:tc>
      </w:tr>
      <w:tr w14:paraId="752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550" w:type="dxa"/>
            <w:vMerge w:val="continue"/>
            <w:vAlign w:val="center"/>
          </w:tcPr>
          <w:p w14:paraId="5FE10ECA">
            <w:pPr>
              <w:pStyle w:val="165"/>
              <w:spacing w:after="0"/>
              <w:jc w:val="center"/>
              <w:rPr>
                <w:rFonts w:ascii="Times New Roman" w:hAnsi="Times New Roman" w:cs="Times New Roman"/>
                <w:b/>
                <w:bCs/>
                <w:sz w:val="21"/>
                <w:szCs w:val="21"/>
              </w:rPr>
            </w:pPr>
          </w:p>
        </w:tc>
        <w:tc>
          <w:tcPr>
            <w:tcW w:w="1559" w:type="dxa"/>
            <w:vMerge w:val="continue"/>
            <w:vAlign w:val="center"/>
          </w:tcPr>
          <w:p w14:paraId="58014063">
            <w:pPr>
              <w:pStyle w:val="165"/>
              <w:spacing w:after="0"/>
              <w:jc w:val="center"/>
              <w:rPr>
                <w:rFonts w:ascii="Times New Roman" w:hAnsi="Times New Roman" w:cs="Times New Roman"/>
                <w:b/>
                <w:bCs/>
                <w:sz w:val="21"/>
                <w:szCs w:val="21"/>
              </w:rPr>
            </w:pPr>
          </w:p>
        </w:tc>
        <w:tc>
          <w:tcPr>
            <w:tcW w:w="1417" w:type="dxa"/>
            <w:vAlign w:val="center"/>
          </w:tcPr>
          <w:p w14:paraId="430FEA1C">
            <w:pPr>
              <w:pStyle w:val="165"/>
              <w:spacing w:after="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原材料</w:t>
            </w:r>
          </w:p>
        </w:tc>
        <w:tc>
          <w:tcPr>
            <w:tcW w:w="1418" w:type="dxa"/>
            <w:vAlign w:val="center"/>
          </w:tcPr>
          <w:p w14:paraId="54950D56">
            <w:pPr>
              <w:pStyle w:val="165"/>
              <w:spacing w:after="0"/>
              <w:jc w:val="center"/>
              <w:rPr>
                <w:rFonts w:ascii="Times New Roman" w:hAnsi="Times New Roman" w:cs="Times New Roman"/>
                <w:b/>
                <w:bCs/>
                <w:sz w:val="21"/>
                <w:szCs w:val="21"/>
                <w:lang w:eastAsia="zh-CN"/>
              </w:rPr>
            </w:pPr>
            <w:r>
              <w:rPr>
                <w:rFonts w:ascii="Times New Roman" w:hAnsi="Times New Roman" w:cs="Times New Roman"/>
                <w:b/>
                <w:bCs/>
                <w:spacing w:val="-2"/>
                <w:sz w:val="21"/>
                <w:szCs w:val="21"/>
                <w:lang w:eastAsia="zh-CN"/>
              </w:rPr>
              <w:t>运输过程</w:t>
            </w:r>
          </w:p>
        </w:tc>
        <w:tc>
          <w:tcPr>
            <w:tcW w:w="1450" w:type="dxa"/>
            <w:vMerge w:val="continue"/>
            <w:vAlign w:val="center"/>
          </w:tcPr>
          <w:p w14:paraId="5E31C89D">
            <w:pPr>
              <w:pStyle w:val="165"/>
              <w:spacing w:after="0"/>
              <w:jc w:val="center"/>
              <w:rPr>
                <w:rFonts w:ascii="Times New Roman" w:hAnsi="Times New Roman" w:cs="Times New Roman"/>
                <w:b/>
                <w:bCs/>
                <w:sz w:val="21"/>
                <w:szCs w:val="21"/>
                <w:lang w:eastAsia="zh-CN"/>
              </w:rPr>
            </w:pPr>
          </w:p>
        </w:tc>
        <w:tc>
          <w:tcPr>
            <w:tcW w:w="1385" w:type="dxa"/>
            <w:vMerge w:val="continue"/>
            <w:vAlign w:val="center"/>
          </w:tcPr>
          <w:p w14:paraId="0D85CA21">
            <w:pPr>
              <w:pStyle w:val="165"/>
              <w:spacing w:after="0"/>
              <w:jc w:val="center"/>
              <w:rPr>
                <w:rFonts w:ascii="Times New Roman" w:hAnsi="Times New Roman" w:cs="Times New Roman"/>
                <w:b/>
                <w:bCs/>
                <w:sz w:val="21"/>
                <w:szCs w:val="21"/>
                <w:lang w:eastAsia="zh-CN"/>
              </w:rPr>
            </w:pPr>
          </w:p>
        </w:tc>
      </w:tr>
      <w:tr w14:paraId="4FDE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550" w:type="dxa"/>
            <w:vMerge w:val="restart"/>
            <w:vAlign w:val="center"/>
          </w:tcPr>
          <w:p w14:paraId="6CF80B36">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原材料获取</w:t>
            </w:r>
          </w:p>
        </w:tc>
        <w:tc>
          <w:tcPr>
            <w:tcW w:w="1559" w:type="dxa"/>
            <w:vAlign w:val="center"/>
          </w:tcPr>
          <w:p w14:paraId="02D307D7">
            <w:pPr>
              <w:autoSpaceDE w:val="0"/>
              <w:autoSpaceDN w:val="0"/>
              <w:jc w:val="center"/>
              <w:rPr>
                <w:szCs w:val="21"/>
              </w:rPr>
            </w:pPr>
            <w:r>
              <w:rPr>
                <w:szCs w:val="21"/>
              </w:rPr>
              <w:t>全热芯体</w:t>
            </w:r>
          </w:p>
        </w:tc>
        <w:tc>
          <w:tcPr>
            <w:tcW w:w="1417" w:type="dxa"/>
            <w:vAlign w:val="center"/>
          </w:tcPr>
          <w:p w14:paraId="74E061E6">
            <w:pPr>
              <w:autoSpaceDE w:val="0"/>
              <w:autoSpaceDN w:val="0"/>
              <w:jc w:val="center"/>
              <w:rPr>
                <w:szCs w:val="21"/>
              </w:rPr>
            </w:pPr>
            <w:r>
              <w:rPr>
                <w:szCs w:val="21"/>
              </w:rPr>
              <w:t>14.8</w:t>
            </w:r>
          </w:p>
        </w:tc>
        <w:tc>
          <w:tcPr>
            <w:tcW w:w="1418" w:type="dxa"/>
            <w:vAlign w:val="center"/>
          </w:tcPr>
          <w:p w14:paraId="5F18A77F">
            <w:pPr>
              <w:autoSpaceDE w:val="0"/>
              <w:autoSpaceDN w:val="0"/>
              <w:jc w:val="center"/>
              <w:rPr>
                <w:szCs w:val="21"/>
              </w:rPr>
            </w:pPr>
            <w:r>
              <w:rPr>
                <w:szCs w:val="21"/>
              </w:rPr>
              <w:t>0.13</w:t>
            </w:r>
          </w:p>
        </w:tc>
        <w:tc>
          <w:tcPr>
            <w:tcW w:w="1450" w:type="dxa"/>
            <w:vMerge w:val="restart"/>
            <w:vAlign w:val="center"/>
          </w:tcPr>
          <w:p w14:paraId="1CC11DBE">
            <w:pPr>
              <w:autoSpaceDE w:val="0"/>
              <w:autoSpaceDN w:val="0"/>
              <w:jc w:val="center"/>
              <w:rPr>
                <w:szCs w:val="21"/>
              </w:rPr>
            </w:pPr>
            <w:r>
              <w:rPr>
                <w:szCs w:val="21"/>
              </w:rPr>
              <w:t>0.364</w:t>
            </w:r>
          </w:p>
        </w:tc>
        <w:tc>
          <w:tcPr>
            <w:tcW w:w="1385" w:type="dxa"/>
            <w:vMerge w:val="restart"/>
            <w:vAlign w:val="center"/>
          </w:tcPr>
          <w:p w14:paraId="3935685D">
            <w:pPr>
              <w:autoSpaceDE w:val="0"/>
              <w:autoSpaceDN w:val="0"/>
              <w:jc w:val="center"/>
              <w:rPr>
                <w:szCs w:val="21"/>
              </w:rPr>
            </w:pPr>
            <w:r>
              <w:rPr>
                <w:szCs w:val="21"/>
              </w:rPr>
              <w:t>99.45</w:t>
            </w:r>
          </w:p>
        </w:tc>
      </w:tr>
      <w:tr w14:paraId="0A99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50" w:type="dxa"/>
            <w:vMerge w:val="continue"/>
            <w:vAlign w:val="center"/>
          </w:tcPr>
          <w:p w14:paraId="2931D4B7">
            <w:pPr>
              <w:autoSpaceDE w:val="0"/>
              <w:autoSpaceDN w:val="0"/>
              <w:jc w:val="center"/>
              <w:rPr>
                <w:szCs w:val="21"/>
              </w:rPr>
            </w:pPr>
          </w:p>
        </w:tc>
        <w:tc>
          <w:tcPr>
            <w:tcW w:w="1559" w:type="dxa"/>
            <w:vAlign w:val="center"/>
          </w:tcPr>
          <w:p w14:paraId="77BA45D2">
            <w:pPr>
              <w:autoSpaceDE w:val="0"/>
              <w:autoSpaceDN w:val="0"/>
              <w:jc w:val="center"/>
              <w:rPr>
                <w:szCs w:val="21"/>
              </w:rPr>
            </w:pPr>
            <w:r>
              <w:rPr>
                <w:szCs w:val="21"/>
              </w:rPr>
              <w:t>电机</w:t>
            </w:r>
          </w:p>
        </w:tc>
        <w:tc>
          <w:tcPr>
            <w:tcW w:w="1417" w:type="dxa"/>
            <w:vAlign w:val="center"/>
          </w:tcPr>
          <w:p w14:paraId="40158539">
            <w:pPr>
              <w:autoSpaceDE w:val="0"/>
              <w:autoSpaceDN w:val="0"/>
              <w:jc w:val="center"/>
              <w:rPr>
                <w:szCs w:val="21"/>
              </w:rPr>
            </w:pPr>
            <w:r>
              <w:rPr>
                <w:szCs w:val="21"/>
              </w:rPr>
              <w:t>8.2</w:t>
            </w:r>
          </w:p>
        </w:tc>
        <w:tc>
          <w:tcPr>
            <w:tcW w:w="1418" w:type="dxa"/>
            <w:vAlign w:val="center"/>
          </w:tcPr>
          <w:p w14:paraId="14A49FF8">
            <w:pPr>
              <w:autoSpaceDE w:val="0"/>
              <w:autoSpaceDN w:val="0"/>
              <w:jc w:val="center"/>
              <w:rPr>
                <w:szCs w:val="21"/>
              </w:rPr>
            </w:pPr>
            <w:r>
              <w:rPr>
                <w:szCs w:val="21"/>
              </w:rPr>
              <w:t>0.15</w:t>
            </w:r>
          </w:p>
        </w:tc>
        <w:tc>
          <w:tcPr>
            <w:tcW w:w="1450" w:type="dxa"/>
            <w:vMerge w:val="continue"/>
            <w:vAlign w:val="center"/>
          </w:tcPr>
          <w:p w14:paraId="392478D5">
            <w:pPr>
              <w:autoSpaceDE w:val="0"/>
              <w:autoSpaceDN w:val="0"/>
              <w:jc w:val="center"/>
              <w:rPr>
                <w:szCs w:val="21"/>
              </w:rPr>
            </w:pPr>
          </w:p>
        </w:tc>
        <w:tc>
          <w:tcPr>
            <w:tcW w:w="1385" w:type="dxa"/>
            <w:vMerge w:val="continue"/>
            <w:vAlign w:val="center"/>
          </w:tcPr>
          <w:p w14:paraId="536093DF">
            <w:pPr>
              <w:autoSpaceDE w:val="0"/>
              <w:autoSpaceDN w:val="0"/>
              <w:jc w:val="center"/>
              <w:rPr>
                <w:szCs w:val="21"/>
              </w:rPr>
            </w:pPr>
          </w:p>
        </w:tc>
      </w:tr>
      <w:tr w14:paraId="6DCE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456C5349">
            <w:pPr>
              <w:autoSpaceDE w:val="0"/>
              <w:autoSpaceDN w:val="0"/>
              <w:jc w:val="center"/>
              <w:rPr>
                <w:szCs w:val="21"/>
              </w:rPr>
            </w:pPr>
          </w:p>
        </w:tc>
        <w:tc>
          <w:tcPr>
            <w:tcW w:w="1559" w:type="dxa"/>
            <w:vAlign w:val="center"/>
          </w:tcPr>
          <w:p w14:paraId="67C3ECF0">
            <w:pPr>
              <w:autoSpaceDE w:val="0"/>
              <w:autoSpaceDN w:val="0"/>
              <w:jc w:val="center"/>
              <w:rPr>
                <w:szCs w:val="21"/>
              </w:rPr>
            </w:pPr>
            <w:r>
              <w:rPr>
                <w:szCs w:val="21"/>
              </w:rPr>
              <w:t>风扇</w:t>
            </w:r>
          </w:p>
        </w:tc>
        <w:tc>
          <w:tcPr>
            <w:tcW w:w="1417" w:type="dxa"/>
            <w:vAlign w:val="center"/>
          </w:tcPr>
          <w:p w14:paraId="62658FB9">
            <w:pPr>
              <w:autoSpaceDE w:val="0"/>
              <w:autoSpaceDN w:val="0"/>
              <w:jc w:val="center"/>
              <w:rPr>
                <w:szCs w:val="21"/>
              </w:rPr>
            </w:pPr>
            <w:r>
              <w:rPr>
                <w:szCs w:val="21"/>
              </w:rPr>
              <w:t>3.4</w:t>
            </w:r>
          </w:p>
        </w:tc>
        <w:tc>
          <w:tcPr>
            <w:tcW w:w="1418" w:type="dxa"/>
            <w:vAlign w:val="center"/>
          </w:tcPr>
          <w:p w14:paraId="6D47928E">
            <w:pPr>
              <w:autoSpaceDE w:val="0"/>
              <w:autoSpaceDN w:val="0"/>
              <w:jc w:val="center"/>
              <w:rPr>
                <w:szCs w:val="21"/>
              </w:rPr>
            </w:pPr>
            <w:r>
              <w:rPr>
                <w:szCs w:val="21"/>
              </w:rPr>
              <w:t>0.001</w:t>
            </w:r>
          </w:p>
        </w:tc>
        <w:tc>
          <w:tcPr>
            <w:tcW w:w="1450" w:type="dxa"/>
            <w:vMerge w:val="continue"/>
            <w:vAlign w:val="center"/>
          </w:tcPr>
          <w:p w14:paraId="693CB128">
            <w:pPr>
              <w:autoSpaceDE w:val="0"/>
              <w:autoSpaceDN w:val="0"/>
              <w:jc w:val="center"/>
              <w:rPr>
                <w:szCs w:val="21"/>
              </w:rPr>
            </w:pPr>
          </w:p>
        </w:tc>
        <w:tc>
          <w:tcPr>
            <w:tcW w:w="1385" w:type="dxa"/>
            <w:vMerge w:val="continue"/>
            <w:vAlign w:val="center"/>
          </w:tcPr>
          <w:p w14:paraId="4BDB947E">
            <w:pPr>
              <w:autoSpaceDE w:val="0"/>
              <w:autoSpaceDN w:val="0"/>
              <w:jc w:val="center"/>
              <w:rPr>
                <w:szCs w:val="21"/>
              </w:rPr>
            </w:pPr>
          </w:p>
        </w:tc>
      </w:tr>
      <w:tr w14:paraId="38FC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52D883C6">
            <w:pPr>
              <w:autoSpaceDE w:val="0"/>
              <w:autoSpaceDN w:val="0"/>
              <w:jc w:val="center"/>
              <w:rPr>
                <w:szCs w:val="21"/>
              </w:rPr>
            </w:pPr>
          </w:p>
        </w:tc>
        <w:tc>
          <w:tcPr>
            <w:tcW w:w="1559" w:type="dxa"/>
            <w:vAlign w:val="center"/>
          </w:tcPr>
          <w:p w14:paraId="57443711">
            <w:pPr>
              <w:autoSpaceDE w:val="0"/>
              <w:autoSpaceDN w:val="0"/>
              <w:jc w:val="center"/>
              <w:rPr>
                <w:szCs w:val="21"/>
              </w:rPr>
            </w:pPr>
            <w:r>
              <w:rPr>
                <w:szCs w:val="21"/>
              </w:rPr>
              <w:t>钣金</w:t>
            </w:r>
          </w:p>
        </w:tc>
        <w:tc>
          <w:tcPr>
            <w:tcW w:w="1417" w:type="dxa"/>
            <w:vAlign w:val="center"/>
          </w:tcPr>
          <w:p w14:paraId="6F0175D8">
            <w:pPr>
              <w:autoSpaceDE w:val="0"/>
              <w:autoSpaceDN w:val="0"/>
              <w:jc w:val="center"/>
              <w:rPr>
                <w:szCs w:val="21"/>
              </w:rPr>
            </w:pPr>
            <w:r>
              <w:rPr>
                <w:szCs w:val="21"/>
              </w:rPr>
              <w:t>83.3</w:t>
            </w:r>
          </w:p>
        </w:tc>
        <w:tc>
          <w:tcPr>
            <w:tcW w:w="1418" w:type="dxa"/>
            <w:vAlign w:val="center"/>
          </w:tcPr>
          <w:p w14:paraId="2612C42D">
            <w:pPr>
              <w:autoSpaceDE w:val="0"/>
              <w:autoSpaceDN w:val="0"/>
              <w:jc w:val="center"/>
              <w:rPr>
                <w:szCs w:val="21"/>
              </w:rPr>
            </w:pPr>
            <w:r>
              <w:rPr>
                <w:szCs w:val="21"/>
              </w:rPr>
              <w:t>0.02</w:t>
            </w:r>
          </w:p>
        </w:tc>
        <w:tc>
          <w:tcPr>
            <w:tcW w:w="1450" w:type="dxa"/>
            <w:vMerge w:val="continue"/>
            <w:vAlign w:val="center"/>
          </w:tcPr>
          <w:p w14:paraId="043504F2">
            <w:pPr>
              <w:autoSpaceDE w:val="0"/>
              <w:autoSpaceDN w:val="0"/>
              <w:jc w:val="center"/>
              <w:rPr>
                <w:szCs w:val="21"/>
              </w:rPr>
            </w:pPr>
          </w:p>
        </w:tc>
        <w:tc>
          <w:tcPr>
            <w:tcW w:w="1385" w:type="dxa"/>
            <w:vMerge w:val="continue"/>
            <w:vAlign w:val="center"/>
          </w:tcPr>
          <w:p w14:paraId="20D6B7C2">
            <w:pPr>
              <w:autoSpaceDE w:val="0"/>
              <w:autoSpaceDN w:val="0"/>
              <w:jc w:val="center"/>
              <w:rPr>
                <w:szCs w:val="21"/>
              </w:rPr>
            </w:pPr>
          </w:p>
        </w:tc>
      </w:tr>
      <w:tr w14:paraId="0B0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502A590C">
            <w:pPr>
              <w:autoSpaceDE w:val="0"/>
              <w:autoSpaceDN w:val="0"/>
              <w:jc w:val="center"/>
              <w:rPr>
                <w:szCs w:val="21"/>
              </w:rPr>
            </w:pPr>
          </w:p>
        </w:tc>
        <w:tc>
          <w:tcPr>
            <w:tcW w:w="1559" w:type="dxa"/>
            <w:vAlign w:val="center"/>
          </w:tcPr>
          <w:p w14:paraId="03A6FF8C">
            <w:pPr>
              <w:autoSpaceDE w:val="0"/>
              <w:autoSpaceDN w:val="0"/>
              <w:jc w:val="center"/>
              <w:rPr>
                <w:szCs w:val="21"/>
              </w:rPr>
            </w:pPr>
            <w:r>
              <w:rPr>
                <w:szCs w:val="21"/>
              </w:rPr>
              <w:t>保温垫</w:t>
            </w:r>
          </w:p>
        </w:tc>
        <w:tc>
          <w:tcPr>
            <w:tcW w:w="1417" w:type="dxa"/>
            <w:vAlign w:val="center"/>
          </w:tcPr>
          <w:p w14:paraId="38A65DB3">
            <w:pPr>
              <w:autoSpaceDE w:val="0"/>
              <w:autoSpaceDN w:val="0"/>
              <w:jc w:val="center"/>
              <w:rPr>
                <w:szCs w:val="21"/>
              </w:rPr>
            </w:pPr>
            <w:r>
              <w:rPr>
                <w:szCs w:val="21"/>
              </w:rPr>
              <w:t>9.4</w:t>
            </w:r>
          </w:p>
        </w:tc>
        <w:tc>
          <w:tcPr>
            <w:tcW w:w="1418" w:type="dxa"/>
            <w:vAlign w:val="center"/>
          </w:tcPr>
          <w:p w14:paraId="61656C93">
            <w:pPr>
              <w:autoSpaceDE w:val="0"/>
              <w:autoSpaceDN w:val="0"/>
              <w:jc w:val="center"/>
              <w:rPr>
                <w:szCs w:val="21"/>
              </w:rPr>
            </w:pPr>
            <w:r>
              <w:rPr>
                <w:szCs w:val="21"/>
              </w:rPr>
              <w:t>0.03</w:t>
            </w:r>
          </w:p>
        </w:tc>
        <w:tc>
          <w:tcPr>
            <w:tcW w:w="1450" w:type="dxa"/>
            <w:vMerge w:val="continue"/>
            <w:vAlign w:val="center"/>
          </w:tcPr>
          <w:p w14:paraId="669A5928">
            <w:pPr>
              <w:autoSpaceDE w:val="0"/>
              <w:autoSpaceDN w:val="0"/>
              <w:jc w:val="center"/>
              <w:rPr>
                <w:szCs w:val="21"/>
              </w:rPr>
            </w:pPr>
          </w:p>
        </w:tc>
        <w:tc>
          <w:tcPr>
            <w:tcW w:w="1385" w:type="dxa"/>
            <w:vMerge w:val="continue"/>
            <w:vAlign w:val="center"/>
          </w:tcPr>
          <w:p w14:paraId="09073BFD">
            <w:pPr>
              <w:autoSpaceDE w:val="0"/>
              <w:autoSpaceDN w:val="0"/>
              <w:jc w:val="center"/>
              <w:rPr>
                <w:szCs w:val="21"/>
              </w:rPr>
            </w:pPr>
          </w:p>
        </w:tc>
      </w:tr>
      <w:tr w14:paraId="24CB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1309B3BD">
            <w:pPr>
              <w:autoSpaceDE w:val="0"/>
              <w:autoSpaceDN w:val="0"/>
              <w:jc w:val="center"/>
              <w:rPr>
                <w:szCs w:val="21"/>
              </w:rPr>
            </w:pPr>
          </w:p>
        </w:tc>
        <w:tc>
          <w:tcPr>
            <w:tcW w:w="1559" w:type="dxa"/>
            <w:vAlign w:val="center"/>
          </w:tcPr>
          <w:p w14:paraId="76411FCA">
            <w:pPr>
              <w:autoSpaceDE w:val="0"/>
              <w:autoSpaceDN w:val="0"/>
              <w:jc w:val="center"/>
              <w:rPr>
                <w:szCs w:val="21"/>
              </w:rPr>
            </w:pPr>
            <w:r>
              <w:rPr>
                <w:szCs w:val="21"/>
              </w:rPr>
              <w:t>PM</w:t>
            </w:r>
            <w:r>
              <w:rPr>
                <w:szCs w:val="21"/>
                <w:vertAlign w:val="subscript"/>
              </w:rPr>
              <w:t>2.5</w:t>
            </w:r>
            <w:r>
              <w:rPr>
                <w:szCs w:val="21"/>
              </w:rPr>
              <w:t>高效滤网</w:t>
            </w:r>
          </w:p>
        </w:tc>
        <w:tc>
          <w:tcPr>
            <w:tcW w:w="1417" w:type="dxa"/>
            <w:vAlign w:val="center"/>
          </w:tcPr>
          <w:p w14:paraId="3B6D892F">
            <w:pPr>
              <w:autoSpaceDE w:val="0"/>
              <w:autoSpaceDN w:val="0"/>
              <w:jc w:val="center"/>
              <w:rPr>
                <w:szCs w:val="21"/>
              </w:rPr>
            </w:pPr>
            <w:r>
              <w:rPr>
                <w:szCs w:val="21"/>
              </w:rPr>
              <w:t>2.0</w:t>
            </w:r>
          </w:p>
        </w:tc>
        <w:tc>
          <w:tcPr>
            <w:tcW w:w="1418" w:type="dxa"/>
            <w:vAlign w:val="center"/>
          </w:tcPr>
          <w:p w14:paraId="7434B334">
            <w:pPr>
              <w:autoSpaceDE w:val="0"/>
              <w:autoSpaceDN w:val="0"/>
              <w:jc w:val="center"/>
              <w:rPr>
                <w:szCs w:val="21"/>
              </w:rPr>
            </w:pPr>
            <w:r>
              <w:rPr>
                <w:szCs w:val="21"/>
              </w:rPr>
              <w:t>0.001</w:t>
            </w:r>
          </w:p>
        </w:tc>
        <w:tc>
          <w:tcPr>
            <w:tcW w:w="1450" w:type="dxa"/>
            <w:vMerge w:val="continue"/>
            <w:vAlign w:val="center"/>
          </w:tcPr>
          <w:p w14:paraId="0CD213DB">
            <w:pPr>
              <w:autoSpaceDE w:val="0"/>
              <w:autoSpaceDN w:val="0"/>
              <w:jc w:val="center"/>
              <w:rPr>
                <w:szCs w:val="21"/>
              </w:rPr>
            </w:pPr>
          </w:p>
        </w:tc>
        <w:tc>
          <w:tcPr>
            <w:tcW w:w="1385" w:type="dxa"/>
            <w:vMerge w:val="continue"/>
            <w:vAlign w:val="center"/>
          </w:tcPr>
          <w:p w14:paraId="6088166E">
            <w:pPr>
              <w:autoSpaceDE w:val="0"/>
              <w:autoSpaceDN w:val="0"/>
              <w:jc w:val="center"/>
              <w:rPr>
                <w:szCs w:val="21"/>
              </w:rPr>
            </w:pPr>
          </w:p>
        </w:tc>
      </w:tr>
      <w:tr w14:paraId="5A1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38E681FD">
            <w:pPr>
              <w:autoSpaceDE w:val="0"/>
              <w:autoSpaceDN w:val="0"/>
              <w:jc w:val="center"/>
              <w:rPr>
                <w:szCs w:val="21"/>
              </w:rPr>
            </w:pPr>
          </w:p>
        </w:tc>
        <w:tc>
          <w:tcPr>
            <w:tcW w:w="1559" w:type="dxa"/>
            <w:vAlign w:val="center"/>
          </w:tcPr>
          <w:p w14:paraId="7E159BE0">
            <w:pPr>
              <w:autoSpaceDE w:val="0"/>
              <w:autoSpaceDN w:val="0"/>
              <w:jc w:val="center"/>
              <w:rPr>
                <w:szCs w:val="21"/>
              </w:rPr>
            </w:pPr>
            <w:r>
              <w:rPr>
                <w:szCs w:val="21"/>
              </w:rPr>
              <w:t>粗效滤网</w:t>
            </w:r>
          </w:p>
        </w:tc>
        <w:tc>
          <w:tcPr>
            <w:tcW w:w="1417" w:type="dxa"/>
            <w:vAlign w:val="center"/>
          </w:tcPr>
          <w:p w14:paraId="1E09DFD5">
            <w:pPr>
              <w:autoSpaceDE w:val="0"/>
              <w:autoSpaceDN w:val="0"/>
              <w:jc w:val="center"/>
              <w:rPr>
                <w:szCs w:val="21"/>
              </w:rPr>
            </w:pPr>
            <w:r>
              <w:rPr>
                <w:szCs w:val="21"/>
              </w:rPr>
              <w:t>1.3</w:t>
            </w:r>
          </w:p>
        </w:tc>
        <w:tc>
          <w:tcPr>
            <w:tcW w:w="1418" w:type="dxa"/>
            <w:vAlign w:val="center"/>
          </w:tcPr>
          <w:p w14:paraId="7BDCA0CD">
            <w:pPr>
              <w:autoSpaceDE w:val="0"/>
              <w:autoSpaceDN w:val="0"/>
              <w:jc w:val="center"/>
              <w:rPr>
                <w:szCs w:val="21"/>
              </w:rPr>
            </w:pPr>
            <w:r>
              <w:rPr>
                <w:szCs w:val="21"/>
              </w:rPr>
              <w:t>0.07</w:t>
            </w:r>
          </w:p>
        </w:tc>
        <w:tc>
          <w:tcPr>
            <w:tcW w:w="1450" w:type="dxa"/>
            <w:vMerge w:val="continue"/>
            <w:vAlign w:val="center"/>
          </w:tcPr>
          <w:p w14:paraId="48944923">
            <w:pPr>
              <w:autoSpaceDE w:val="0"/>
              <w:autoSpaceDN w:val="0"/>
              <w:jc w:val="center"/>
              <w:rPr>
                <w:szCs w:val="21"/>
              </w:rPr>
            </w:pPr>
          </w:p>
        </w:tc>
        <w:tc>
          <w:tcPr>
            <w:tcW w:w="1385" w:type="dxa"/>
            <w:vMerge w:val="continue"/>
            <w:vAlign w:val="center"/>
          </w:tcPr>
          <w:p w14:paraId="0B457D81">
            <w:pPr>
              <w:autoSpaceDE w:val="0"/>
              <w:autoSpaceDN w:val="0"/>
              <w:jc w:val="center"/>
              <w:rPr>
                <w:szCs w:val="21"/>
              </w:rPr>
            </w:pPr>
          </w:p>
        </w:tc>
      </w:tr>
      <w:tr w14:paraId="441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50" w:type="dxa"/>
            <w:vMerge w:val="continue"/>
            <w:vAlign w:val="center"/>
          </w:tcPr>
          <w:p w14:paraId="7B19865A">
            <w:pPr>
              <w:autoSpaceDE w:val="0"/>
              <w:autoSpaceDN w:val="0"/>
              <w:jc w:val="center"/>
              <w:rPr>
                <w:szCs w:val="21"/>
              </w:rPr>
            </w:pPr>
          </w:p>
        </w:tc>
        <w:tc>
          <w:tcPr>
            <w:tcW w:w="1559" w:type="dxa"/>
            <w:vAlign w:val="center"/>
          </w:tcPr>
          <w:p w14:paraId="1D441A0B">
            <w:pPr>
              <w:autoSpaceDE w:val="0"/>
              <w:autoSpaceDN w:val="0"/>
              <w:jc w:val="center"/>
              <w:rPr>
                <w:szCs w:val="21"/>
              </w:rPr>
            </w:pPr>
            <w:r>
              <w:rPr>
                <w:szCs w:val="21"/>
              </w:rPr>
              <w:t>包装箱</w:t>
            </w:r>
          </w:p>
        </w:tc>
        <w:tc>
          <w:tcPr>
            <w:tcW w:w="1417" w:type="dxa"/>
            <w:vAlign w:val="center"/>
          </w:tcPr>
          <w:p w14:paraId="58A7C879">
            <w:pPr>
              <w:autoSpaceDE w:val="0"/>
              <w:autoSpaceDN w:val="0"/>
              <w:jc w:val="center"/>
              <w:rPr>
                <w:szCs w:val="21"/>
              </w:rPr>
            </w:pPr>
            <w:r>
              <w:rPr>
                <w:szCs w:val="21"/>
              </w:rPr>
              <w:t>4.8</w:t>
            </w:r>
          </w:p>
        </w:tc>
        <w:tc>
          <w:tcPr>
            <w:tcW w:w="1418" w:type="dxa"/>
            <w:vAlign w:val="center"/>
          </w:tcPr>
          <w:p w14:paraId="37C2B7CD">
            <w:pPr>
              <w:autoSpaceDE w:val="0"/>
              <w:autoSpaceDN w:val="0"/>
              <w:jc w:val="center"/>
              <w:rPr>
                <w:szCs w:val="21"/>
              </w:rPr>
            </w:pPr>
            <w:r>
              <w:rPr>
                <w:szCs w:val="21"/>
              </w:rPr>
              <w:t>0.002</w:t>
            </w:r>
          </w:p>
        </w:tc>
        <w:tc>
          <w:tcPr>
            <w:tcW w:w="1450" w:type="dxa"/>
            <w:vMerge w:val="continue"/>
            <w:vAlign w:val="center"/>
          </w:tcPr>
          <w:p w14:paraId="0FF05E65">
            <w:pPr>
              <w:autoSpaceDE w:val="0"/>
              <w:autoSpaceDN w:val="0"/>
              <w:jc w:val="center"/>
              <w:rPr>
                <w:szCs w:val="21"/>
              </w:rPr>
            </w:pPr>
          </w:p>
        </w:tc>
        <w:tc>
          <w:tcPr>
            <w:tcW w:w="1385" w:type="dxa"/>
            <w:vMerge w:val="continue"/>
            <w:vAlign w:val="center"/>
          </w:tcPr>
          <w:p w14:paraId="6E054AC8">
            <w:pPr>
              <w:autoSpaceDE w:val="0"/>
              <w:autoSpaceDN w:val="0"/>
              <w:jc w:val="center"/>
              <w:rPr>
                <w:szCs w:val="21"/>
              </w:rPr>
            </w:pPr>
          </w:p>
        </w:tc>
      </w:tr>
      <w:tr w14:paraId="7D6B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550" w:type="dxa"/>
            <w:vAlign w:val="center"/>
          </w:tcPr>
          <w:p w14:paraId="1FD6BC1D">
            <w:pPr>
              <w:pStyle w:val="165"/>
              <w:spacing w:after="0"/>
              <w:jc w:val="center"/>
              <w:rPr>
                <w:rFonts w:ascii="Times New Roman" w:hAnsi="Times New Roman" w:cs="Times New Roman"/>
                <w:sz w:val="21"/>
                <w:szCs w:val="21"/>
              </w:rPr>
            </w:pPr>
            <w:r>
              <w:rPr>
                <w:rFonts w:ascii="Times New Roman" w:hAnsi="Times New Roman" w:cs="Times New Roman"/>
                <w:spacing w:val="-2"/>
                <w:sz w:val="21"/>
                <w:szCs w:val="21"/>
              </w:rPr>
              <w:t>生产</w:t>
            </w:r>
          </w:p>
        </w:tc>
        <w:tc>
          <w:tcPr>
            <w:tcW w:w="1559" w:type="dxa"/>
            <w:vAlign w:val="center"/>
          </w:tcPr>
          <w:p w14:paraId="0BFB6BA5">
            <w:pPr>
              <w:autoSpaceDE w:val="0"/>
              <w:autoSpaceDN w:val="0"/>
              <w:jc w:val="center"/>
              <w:rPr>
                <w:szCs w:val="21"/>
              </w:rPr>
            </w:pPr>
            <w:r>
              <w:rPr>
                <w:szCs w:val="21"/>
              </w:rPr>
              <w:t>电力</w:t>
            </w:r>
          </w:p>
        </w:tc>
        <w:tc>
          <w:tcPr>
            <w:tcW w:w="2835" w:type="dxa"/>
            <w:gridSpan w:val="2"/>
            <w:vAlign w:val="center"/>
          </w:tcPr>
          <w:p w14:paraId="63743D95">
            <w:pPr>
              <w:autoSpaceDE w:val="0"/>
              <w:autoSpaceDN w:val="0"/>
              <w:jc w:val="center"/>
              <w:rPr>
                <w:szCs w:val="21"/>
              </w:rPr>
            </w:pPr>
            <w:r>
              <w:rPr>
                <w:szCs w:val="21"/>
              </w:rPr>
              <w:t>0.72</w:t>
            </w:r>
          </w:p>
        </w:tc>
        <w:tc>
          <w:tcPr>
            <w:tcW w:w="1450" w:type="dxa"/>
            <w:vAlign w:val="center"/>
          </w:tcPr>
          <w:p w14:paraId="296BEF11">
            <w:pPr>
              <w:autoSpaceDE w:val="0"/>
              <w:autoSpaceDN w:val="0"/>
              <w:jc w:val="center"/>
              <w:rPr>
                <w:szCs w:val="21"/>
              </w:rPr>
            </w:pPr>
            <w:r>
              <w:rPr>
                <w:szCs w:val="21"/>
              </w:rPr>
              <w:t>0.002</w:t>
            </w:r>
          </w:p>
        </w:tc>
        <w:tc>
          <w:tcPr>
            <w:tcW w:w="1385" w:type="dxa"/>
            <w:vAlign w:val="center"/>
          </w:tcPr>
          <w:p w14:paraId="43C5324C">
            <w:pPr>
              <w:autoSpaceDE w:val="0"/>
              <w:autoSpaceDN w:val="0"/>
              <w:jc w:val="center"/>
              <w:rPr>
                <w:szCs w:val="21"/>
              </w:rPr>
            </w:pPr>
            <w:r>
              <w:rPr>
                <w:szCs w:val="21"/>
              </w:rPr>
              <w:t>0.55</w:t>
            </w:r>
          </w:p>
        </w:tc>
      </w:tr>
      <w:tr w14:paraId="396E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944" w:type="dxa"/>
            <w:gridSpan w:val="4"/>
            <w:vAlign w:val="center"/>
          </w:tcPr>
          <w:p w14:paraId="4FEACC55">
            <w:pPr>
              <w:autoSpaceDE w:val="0"/>
              <w:autoSpaceDN w:val="0"/>
              <w:jc w:val="center"/>
              <w:rPr>
                <w:szCs w:val="21"/>
              </w:rPr>
            </w:pPr>
            <w:r>
              <w:rPr>
                <w:spacing w:val="-2"/>
                <w:szCs w:val="21"/>
              </w:rPr>
              <w:t>合计</w:t>
            </w:r>
          </w:p>
        </w:tc>
        <w:tc>
          <w:tcPr>
            <w:tcW w:w="1450" w:type="dxa"/>
            <w:vAlign w:val="center"/>
          </w:tcPr>
          <w:p w14:paraId="7DADACB8">
            <w:pPr>
              <w:autoSpaceDE w:val="0"/>
              <w:autoSpaceDN w:val="0"/>
              <w:jc w:val="center"/>
              <w:rPr>
                <w:szCs w:val="21"/>
              </w:rPr>
            </w:pPr>
            <w:r>
              <w:rPr>
                <w:szCs w:val="21"/>
              </w:rPr>
              <w:t>0.366</w:t>
            </w:r>
          </w:p>
        </w:tc>
        <w:tc>
          <w:tcPr>
            <w:tcW w:w="1385" w:type="dxa"/>
            <w:vAlign w:val="center"/>
          </w:tcPr>
          <w:p w14:paraId="0AC818DE">
            <w:pPr>
              <w:autoSpaceDE w:val="0"/>
              <w:autoSpaceDN w:val="0"/>
              <w:jc w:val="center"/>
              <w:rPr>
                <w:szCs w:val="21"/>
              </w:rPr>
            </w:pPr>
            <w:r>
              <w:rPr>
                <w:szCs w:val="21"/>
              </w:rPr>
              <w:t>100</w:t>
            </w:r>
          </w:p>
        </w:tc>
      </w:tr>
    </w:tbl>
    <w:p w14:paraId="1663E483">
      <w:pPr>
        <w:spacing w:line="360" w:lineRule="auto"/>
        <w:ind w:left="6"/>
        <w:rPr>
          <w:b/>
          <w:bCs/>
          <w:spacing w:val="-3"/>
          <w:szCs w:val="21"/>
        </w:rPr>
      </w:pPr>
      <w:r>
        <w:rPr>
          <w:b/>
          <w:bCs/>
          <w:spacing w:val="-3"/>
          <w:szCs w:val="21"/>
        </w:rPr>
        <w:t>E.6 结果解释</w:t>
      </w:r>
    </w:p>
    <w:p w14:paraId="4874D046">
      <w:pPr>
        <w:spacing w:line="360" w:lineRule="auto"/>
        <w:ind w:left="6"/>
        <w:rPr>
          <w:szCs w:val="21"/>
        </w:rPr>
      </w:pPr>
      <w:r>
        <w:rPr>
          <w:b/>
          <w:bCs/>
          <w:spacing w:val="-3"/>
          <w:szCs w:val="21"/>
        </w:rPr>
        <w:t xml:space="preserve">      </w:t>
      </w:r>
      <w:r>
        <w:rPr>
          <w:spacing w:val="-3"/>
          <w:szCs w:val="21"/>
        </w:rPr>
        <w:t xml:space="preserve"> XX公司生产的1m</w:t>
      </w:r>
      <w:r>
        <w:rPr>
          <w:spacing w:val="-3"/>
          <w:szCs w:val="21"/>
          <w:vertAlign w:val="superscript"/>
        </w:rPr>
        <w:t>3</w:t>
      </w:r>
      <w:r>
        <w:rPr>
          <w:spacing w:val="-3"/>
          <w:szCs w:val="21"/>
        </w:rPr>
        <w:t>/h热回收式新风机组，从原材料获取阶段到生产阶段生命周期碳足迹为0.366kg</w:t>
      </w:r>
      <w:r>
        <w:rPr>
          <w:szCs w:val="21"/>
        </w:rPr>
        <w:t xml:space="preserve"> CO</w:t>
      </w:r>
      <w:r>
        <w:rPr>
          <w:szCs w:val="21"/>
          <w:vertAlign w:val="subscript"/>
        </w:rPr>
        <w:t>2</w:t>
      </w:r>
      <w:r>
        <w:rPr>
          <w:szCs w:val="21"/>
        </w:rPr>
        <w:t>e，各生命周期阶段的温室气体排放情况如表E.5和图E.2所示。</w:t>
      </w:r>
    </w:p>
    <w:p w14:paraId="7CCEA559">
      <w:pPr>
        <w:spacing w:line="360" w:lineRule="auto"/>
        <w:ind w:left="6" w:firstLine="420" w:firstLineChars="200"/>
        <w:rPr>
          <w:szCs w:val="21"/>
        </w:rPr>
      </w:pPr>
      <w:r>
        <w:rPr>
          <w:szCs w:val="21"/>
        </w:rPr>
        <w:t>原材料获取阶段的零部件碳足迹仅包括零部件各类原材料的碳足迹，不包括零部件生产阶段的碳足迹。生产阶段不包括</w:t>
      </w:r>
      <w:r>
        <w:rPr>
          <w:kern w:val="0"/>
          <w:szCs w:val="20"/>
        </w:rPr>
        <w:t>生产场所供暖空调、照明等环境控制设施能源消耗产生的碳足迹。</w:t>
      </w:r>
    </w:p>
    <w:p w14:paraId="62C51391">
      <w:pPr>
        <w:spacing w:line="360" w:lineRule="auto"/>
        <w:ind w:left="6"/>
        <w:jc w:val="center"/>
        <w:rPr>
          <w:b/>
          <w:bCs/>
          <w:spacing w:val="-3"/>
          <w:szCs w:val="21"/>
        </w:rPr>
      </w:pPr>
      <w:r>
        <w:rPr>
          <w:b/>
          <w:bCs/>
          <w:spacing w:val="-3"/>
          <w:szCs w:val="21"/>
        </w:rPr>
        <w:drawing>
          <wp:inline distT="0" distB="0" distL="0" distR="0">
            <wp:extent cx="1492250" cy="1567180"/>
            <wp:effectExtent l="0" t="0" r="0" b="0"/>
            <wp:docPr id="2051814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14256" name="图片 1"/>
                    <pic:cNvPicPr>
                      <a:picLocks noChangeAspect="1"/>
                    </pic:cNvPicPr>
                  </pic:nvPicPr>
                  <pic:blipFill>
                    <a:blip r:embed="rId10"/>
                    <a:stretch>
                      <a:fillRect/>
                    </a:stretch>
                  </pic:blipFill>
                  <pic:spPr>
                    <a:xfrm>
                      <a:off x="0" y="0"/>
                      <a:ext cx="1514096" cy="1590374"/>
                    </a:xfrm>
                    <a:prstGeom prst="rect">
                      <a:avLst/>
                    </a:prstGeom>
                  </pic:spPr>
                </pic:pic>
              </a:graphicData>
            </a:graphic>
          </wp:inline>
        </w:drawing>
      </w:r>
    </w:p>
    <w:p w14:paraId="1C9B4BE3">
      <w:pPr>
        <w:pStyle w:val="138"/>
        <w:framePr w:hSpace="0" w:vSpace="0" w:wrap="auto" w:vAnchor="margin" w:hAnchor="text" w:xAlign="left" w:yAlign="inline"/>
        <w:ind w:firstLine="418"/>
        <w:jc w:val="center"/>
        <w:rPr>
          <w:rFonts w:eastAsia="黑体"/>
          <w:spacing w:val="-1"/>
          <w:szCs w:val="21"/>
        </w:rPr>
      </w:pPr>
      <w:r>
        <w:rPr>
          <w:rFonts w:eastAsia="黑体"/>
          <w:spacing w:val="-1"/>
          <w:szCs w:val="21"/>
        </w:rPr>
        <w:t>图E.2 热回收新风机组各生命周期阶段温室气体排放分布图</w:t>
      </w:r>
      <w:bookmarkEnd w:id="54"/>
    </w:p>
    <w:p w14:paraId="1454B2D5">
      <w:pPr>
        <w:pStyle w:val="138"/>
        <w:framePr w:hSpace="0" w:vSpace="0" w:wrap="auto" w:vAnchor="margin" w:hAnchor="text" w:xAlign="left" w:yAlign="inline"/>
        <w:ind w:firstLine="418"/>
        <w:jc w:val="center"/>
      </w:pPr>
      <w:r>
        <w:t>_________________________________</w:t>
      </w:r>
    </w:p>
    <w:sectPr>
      <w:footerReference r:id="rId5" w:type="default"/>
      <w:type w:val="continuous"/>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7F6A">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3CA5">
    <w:pPr>
      <w:pStyle w:val="22"/>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F5FE">
    <w:pPr>
      <w:pStyle w:val="78"/>
      <w:rPr>
        <w:rFonts w:ascii="黑体" w:eastAsia="黑体"/>
        <w:sz w:val="21"/>
        <w:szCs w:val="21"/>
      </w:rPr>
    </w:pPr>
    <w:r>
      <w:rPr>
        <w:rFonts w:ascii="黑体" w:eastAsia="黑体"/>
        <w:sz w:val="21"/>
        <w:szCs w:val="21"/>
      </w:rPr>
      <w:t xml:space="preserve">GB/T </w:t>
    </w:r>
    <w:r>
      <w:rPr>
        <w:rFonts w:hint="eastAsia" w:ascii="黑体" w:eastAsia="黑体"/>
        <w:sz w:val="21"/>
        <w:szCs w:val="21"/>
      </w:rPr>
      <w:t>×××××—</w:t>
    </w:r>
    <w:r>
      <w:rPr>
        <w:rFonts w:hint="eastAsia" w:ascii="黑体" w:eastAsia="黑体"/>
        <w:sz w:val="21"/>
        <w:szCs w:val="21"/>
        <w:lang w:val="en-US" w:eastAsia="zh-CN"/>
      </w:rPr>
      <w:t>202</w:t>
    </w:r>
    <w:r>
      <w:rPr>
        <w:rFonts w:hint="eastAsia" w:ascii="黑体" w:eastAsia="黑体"/>
        <w:sz w:val="21"/>
        <w:szCs w:val="21"/>
      </w:rPr>
      <w:t>×</w:t>
    </w:r>
  </w:p>
  <w:p w14:paraId="36C6D815">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58"/>
      <w:suff w:val="nothing"/>
      <w:lvlText w:val="%1%2.%3.%4.%5　"/>
      <w:lvlJc w:val="left"/>
      <w:pPr>
        <w:ind w:left="0" w:firstLine="0"/>
      </w:pPr>
      <w:rPr>
        <w:rFonts w:hint="eastAsia" w:ascii="黑体" w:hAnsi="Times New Roman" w:eastAsia="黑体"/>
        <w:b w:val="0"/>
        <w:i w:val="0"/>
        <w:sz w:val="21"/>
      </w:rPr>
    </w:lvl>
    <w:lvl w:ilvl="5" w:tentative="0">
      <w:start w:val="1"/>
      <w:numFmt w:val="decimal"/>
      <w:pStyle w:val="159"/>
      <w:suff w:val="nothing"/>
      <w:lvlText w:val="%1%2.%3.%4.%5.%6　"/>
      <w:lvlJc w:val="left"/>
      <w:pPr>
        <w:ind w:left="0" w:firstLine="0"/>
      </w:pPr>
      <w:rPr>
        <w:rFonts w:hint="eastAsia" w:ascii="黑体" w:hAnsi="Times New Roman" w:eastAsia="黑体"/>
        <w:b w:val="0"/>
        <w:i w:val="0"/>
        <w:sz w:val="21"/>
      </w:rPr>
    </w:lvl>
    <w:lvl w:ilvl="6" w:tentative="0">
      <w:start w:val="1"/>
      <w:numFmt w:val="decimal"/>
      <w:pStyle w:val="1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E3B13EC"/>
    <w:multiLevelType w:val="multilevel"/>
    <w:tmpl w:val="0E3B13EC"/>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3"/>
      <w:suff w:val="nothing"/>
      <w:lvlText w:val="%1　"/>
      <w:lvlJc w:val="left"/>
      <w:pPr>
        <w:ind w:left="850" w:firstLine="0"/>
      </w:pPr>
      <w:rPr>
        <w:rFonts w:hint="eastAsia" w:ascii="黑体" w:hAnsi="Times New Roman" w:eastAsia="黑体"/>
        <w:b w:val="0"/>
        <w:i w:val="0"/>
        <w:sz w:val="24"/>
        <w:szCs w:val="24"/>
      </w:rPr>
    </w:lvl>
    <w:lvl w:ilvl="1" w:tentative="0">
      <w:start w:val="1"/>
      <w:numFmt w:val="decimal"/>
      <w:pStyle w:val="50"/>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284"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2"/>
      <w:suff w:val="nothing"/>
      <w:lvlText w:val="附　录　%1"/>
      <w:lvlJc w:val="left"/>
      <w:pPr>
        <w:ind w:left="3545"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3545"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3545" w:firstLine="0"/>
      </w:pPr>
      <w:rPr>
        <w:rFonts w:hint="eastAsia" w:ascii="黑体" w:hAnsi="Times New Roman" w:eastAsia="黑体"/>
        <w:b w:val="0"/>
        <w:i w:val="0"/>
        <w:sz w:val="21"/>
      </w:rPr>
    </w:lvl>
    <w:lvl w:ilvl="3" w:tentative="0">
      <w:start w:val="1"/>
      <w:numFmt w:val="decimal"/>
      <w:pStyle w:val="96"/>
      <w:suff w:val="nothing"/>
      <w:lvlText w:val="%1.%2.%3.%4　"/>
      <w:lvlJc w:val="left"/>
      <w:pPr>
        <w:ind w:left="3545" w:firstLine="0"/>
      </w:pPr>
      <w:rPr>
        <w:rFonts w:hint="eastAsia" w:ascii="黑体" w:hAnsi="Times New Roman" w:eastAsia="黑体"/>
        <w:b w:val="0"/>
        <w:i w:val="0"/>
        <w:sz w:val="21"/>
      </w:rPr>
    </w:lvl>
    <w:lvl w:ilvl="4" w:tentative="0">
      <w:start w:val="1"/>
      <w:numFmt w:val="decimal"/>
      <w:pStyle w:val="101"/>
      <w:suff w:val="nothing"/>
      <w:lvlText w:val="%1.%2.%3.%4.%5　"/>
      <w:lvlJc w:val="left"/>
      <w:pPr>
        <w:ind w:left="3545" w:firstLine="0"/>
      </w:pPr>
      <w:rPr>
        <w:rFonts w:hint="eastAsia" w:ascii="黑体" w:hAnsi="Times New Roman" w:eastAsia="黑体"/>
        <w:b w:val="0"/>
        <w:i w:val="0"/>
        <w:sz w:val="21"/>
      </w:rPr>
    </w:lvl>
    <w:lvl w:ilvl="5" w:tentative="0">
      <w:start w:val="1"/>
      <w:numFmt w:val="decimal"/>
      <w:pStyle w:val="104"/>
      <w:suff w:val="nothing"/>
      <w:lvlText w:val="%1.%2.%3.%4.%5.%6　"/>
      <w:lvlJc w:val="left"/>
      <w:pPr>
        <w:ind w:left="3545" w:firstLine="0"/>
      </w:pPr>
      <w:rPr>
        <w:rFonts w:hint="eastAsia" w:ascii="黑体" w:hAnsi="Times New Roman" w:eastAsia="黑体"/>
        <w:b w:val="0"/>
        <w:i w:val="0"/>
        <w:sz w:val="21"/>
      </w:rPr>
    </w:lvl>
    <w:lvl w:ilvl="6" w:tentative="0">
      <w:start w:val="1"/>
      <w:numFmt w:val="decimal"/>
      <w:pStyle w:val="108"/>
      <w:suff w:val="nothing"/>
      <w:lvlText w:val="%1.%2.%3.%4.%5.%6.%7　"/>
      <w:lvlJc w:val="left"/>
      <w:pPr>
        <w:ind w:left="3545" w:firstLine="0"/>
      </w:pPr>
      <w:rPr>
        <w:rFonts w:hint="eastAsia" w:ascii="黑体" w:hAnsi="Times New Roman" w:eastAsia="黑体"/>
        <w:b w:val="0"/>
        <w:i w:val="0"/>
        <w:sz w:val="21"/>
      </w:rPr>
    </w:lvl>
    <w:lvl w:ilvl="7" w:tentative="0">
      <w:start w:val="1"/>
      <w:numFmt w:val="decimal"/>
      <w:lvlText w:val="%1.%2.%3.%4.%5.%6.%7.%8"/>
      <w:lvlJc w:val="left"/>
      <w:pPr>
        <w:tabs>
          <w:tab w:val="left" w:pos="7939"/>
        </w:tabs>
        <w:ind w:left="7939" w:hanging="1418"/>
      </w:pPr>
      <w:rPr>
        <w:rFonts w:hint="eastAsia"/>
      </w:rPr>
    </w:lvl>
    <w:lvl w:ilvl="8" w:tentative="0">
      <w:start w:val="1"/>
      <w:numFmt w:val="decimal"/>
      <w:lvlText w:val="%1.%2.%3.%4.%5.%6.%7.%8.%9"/>
      <w:lvlJc w:val="left"/>
      <w:pPr>
        <w:tabs>
          <w:tab w:val="left" w:pos="8647"/>
        </w:tabs>
        <w:ind w:left="8647" w:hanging="1700"/>
      </w:pPr>
      <w:rPr>
        <w:rFonts w:hint="eastAsia"/>
      </w:rPr>
    </w:lvl>
  </w:abstractNum>
  <w:abstractNum w:abstractNumId="1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0" w:firstLine="0"/>
      </w:pPr>
      <w:rPr>
        <w:rFonts w:hint="eastAsia" w:ascii="黑体" w:hAnsi="Times New Roman" w:eastAsia="黑体"/>
        <w:b w:val="0"/>
        <w:i w:val="0"/>
        <w:sz w:val="21"/>
      </w:rPr>
    </w:lvl>
    <w:lvl w:ilvl="3" w:tentative="0">
      <w:start w:val="1"/>
      <w:numFmt w:val="decimal"/>
      <w:suff w:val="nothing"/>
      <w:lvlText w:val="%1%2.%3.%4　"/>
      <w:lvlJc w:val="left"/>
      <w:pPr>
        <w:ind w:left="52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7"/>
  </w:num>
  <w:num w:numId="3">
    <w:abstractNumId w:val="9"/>
  </w:num>
  <w:num w:numId="4">
    <w:abstractNumId w:val="3"/>
  </w:num>
  <w:num w:numId="5">
    <w:abstractNumId w:val="11"/>
  </w:num>
  <w:num w:numId="6">
    <w:abstractNumId w:val="19"/>
  </w:num>
  <w:num w:numId="7">
    <w:abstractNumId w:val="1"/>
  </w:num>
  <w:num w:numId="8">
    <w:abstractNumId w:val="12"/>
  </w:num>
  <w:num w:numId="9">
    <w:abstractNumId w:val="6"/>
  </w:num>
  <w:num w:numId="10">
    <w:abstractNumId w:val="16"/>
  </w:num>
  <w:num w:numId="11">
    <w:abstractNumId w:val="14"/>
  </w:num>
  <w:num w:numId="12">
    <w:abstractNumId w:val="18"/>
  </w:num>
  <w:num w:numId="13">
    <w:abstractNumId w:val="8"/>
  </w:num>
  <w:num w:numId="14">
    <w:abstractNumId w:val="2"/>
  </w:num>
  <w:num w:numId="15">
    <w:abstractNumId w:val="4"/>
  </w:num>
  <w:num w:numId="16">
    <w:abstractNumId w:val="15"/>
  </w:num>
  <w:num w:numId="17">
    <w:abstractNumId w:val="13"/>
  </w:num>
  <w:num w:numId="18">
    <w:abstractNumId w:val="0"/>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D81"/>
    <w:rsid w:val="0000185F"/>
    <w:rsid w:val="00002F20"/>
    <w:rsid w:val="0000586F"/>
    <w:rsid w:val="000061F7"/>
    <w:rsid w:val="000109A6"/>
    <w:rsid w:val="0001131F"/>
    <w:rsid w:val="00011DA0"/>
    <w:rsid w:val="00012823"/>
    <w:rsid w:val="000131C8"/>
    <w:rsid w:val="00013D86"/>
    <w:rsid w:val="00013E02"/>
    <w:rsid w:val="00020D24"/>
    <w:rsid w:val="00020E82"/>
    <w:rsid w:val="00020F8B"/>
    <w:rsid w:val="0002143C"/>
    <w:rsid w:val="00023169"/>
    <w:rsid w:val="00024B07"/>
    <w:rsid w:val="000257CF"/>
    <w:rsid w:val="000259B6"/>
    <w:rsid w:val="00025A65"/>
    <w:rsid w:val="00025B18"/>
    <w:rsid w:val="00026C31"/>
    <w:rsid w:val="00026D03"/>
    <w:rsid w:val="00027280"/>
    <w:rsid w:val="000275CD"/>
    <w:rsid w:val="00030EB5"/>
    <w:rsid w:val="0003182E"/>
    <w:rsid w:val="00031C22"/>
    <w:rsid w:val="00031D6F"/>
    <w:rsid w:val="00032067"/>
    <w:rsid w:val="000320A7"/>
    <w:rsid w:val="00032546"/>
    <w:rsid w:val="0003288D"/>
    <w:rsid w:val="00032AA8"/>
    <w:rsid w:val="000330C5"/>
    <w:rsid w:val="00033293"/>
    <w:rsid w:val="00033D34"/>
    <w:rsid w:val="00035925"/>
    <w:rsid w:val="0003613B"/>
    <w:rsid w:val="0003746B"/>
    <w:rsid w:val="00040E41"/>
    <w:rsid w:val="00041531"/>
    <w:rsid w:val="00043014"/>
    <w:rsid w:val="00044E1C"/>
    <w:rsid w:val="00047701"/>
    <w:rsid w:val="00047F58"/>
    <w:rsid w:val="00051594"/>
    <w:rsid w:val="00051AF0"/>
    <w:rsid w:val="00052737"/>
    <w:rsid w:val="00052C1D"/>
    <w:rsid w:val="000532A0"/>
    <w:rsid w:val="00054898"/>
    <w:rsid w:val="00055B43"/>
    <w:rsid w:val="0005607A"/>
    <w:rsid w:val="0005628B"/>
    <w:rsid w:val="000563C4"/>
    <w:rsid w:val="000564C5"/>
    <w:rsid w:val="00060489"/>
    <w:rsid w:val="0006214B"/>
    <w:rsid w:val="00062C37"/>
    <w:rsid w:val="000635D6"/>
    <w:rsid w:val="00064081"/>
    <w:rsid w:val="0006415E"/>
    <w:rsid w:val="00064D33"/>
    <w:rsid w:val="00064E3B"/>
    <w:rsid w:val="000653E2"/>
    <w:rsid w:val="00067CDF"/>
    <w:rsid w:val="00071B7D"/>
    <w:rsid w:val="00071E0B"/>
    <w:rsid w:val="000743E0"/>
    <w:rsid w:val="00074D17"/>
    <w:rsid w:val="00074FBE"/>
    <w:rsid w:val="00075540"/>
    <w:rsid w:val="000757EC"/>
    <w:rsid w:val="00075860"/>
    <w:rsid w:val="00076287"/>
    <w:rsid w:val="00077D5E"/>
    <w:rsid w:val="00080875"/>
    <w:rsid w:val="000812E0"/>
    <w:rsid w:val="000816EE"/>
    <w:rsid w:val="000823D6"/>
    <w:rsid w:val="00083A09"/>
    <w:rsid w:val="00083D63"/>
    <w:rsid w:val="00086B87"/>
    <w:rsid w:val="0009005E"/>
    <w:rsid w:val="00090084"/>
    <w:rsid w:val="00090D3E"/>
    <w:rsid w:val="00092857"/>
    <w:rsid w:val="00093581"/>
    <w:rsid w:val="00093AFB"/>
    <w:rsid w:val="00095857"/>
    <w:rsid w:val="00095927"/>
    <w:rsid w:val="00095E0F"/>
    <w:rsid w:val="00096259"/>
    <w:rsid w:val="000A19F7"/>
    <w:rsid w:val="000A20A9"/>
    <w:rsid w:val="000A2F4E"/>
    <w:rsid w:val="000A3393"/>
    <w:rsid w:val="000A3848"/>
    <w:rsid w:val="000A48B1"/>
    <w:rsid w:val="000A4986"/>
    <w:rsid w:val="000A59C5"/>
    <w:rsid w:val="000A73F4"/>
    <w:rsid w:val="000A7A78"/>
    <w:rsid w:val="000B163E"/>
    <w:rsid w:val="000B2588"/>
    <w:rsid w:val="000B30C9"/>
    <w:rsid w:val="000B3143"/>
    <w:rsid w:val="000B532A"/>
    <w:rsid w:val="000B5620"/>
    <w:rsid w:val="000B60AF"/>
    <w:rsid w:val="000B7C51"/>
    <w:rsid w:val="000C0DDB"/>
    <w:rsid w:val="000C17C1"/>
    <w:rsid w:val="000C251F"/>
    <w:rsid w:val="000C37CC"/>
    <w:rsid w:val="000C440D"/>
    <w:rsid w:val="000C4FC3"/>
    <w:rsid w:val="000C6584"/>
    <w:rsid w:val="000C66A3"/>
    <w:rsid w:val="000C6B05"/>
    <w:rsid w:val="000C6DC6"/>
    <w:rsid w:val="000C6DD6"/>
    <w:rsid w:val="000C73D4"/>
    <w:rsid w:val="000D0CD9"/>
    <w:rsid w:val="000D2311"/>
    <w:rsid w:val="000D3D4C"/>
    <w:rsid w:val="000D4F27"/>
    <w:rsid w:val="000D4F51"/>
    <w:rsid w:val="000D5D69"/>
    <w:rsid w:val="000D6AEF"/>
    <w:rsid w:val="000D6ED4"/>
    <w:rsid w:val="000D70FC"/>
    <w:rsid w:val="000D718B"/>
    <w:rsid w:val="000E07A2"/>
    <w:rsid w:val="000E08E8"/>
    <w:rsid w:val="000E0C46"/>
    <w:rsid w:val="000E310F"/>
    <w:rsid w:val="000E372A"/>
    <w:rsid w:val="000E42D8"/>
    <w:rsid w:val="000E5315"/>
    <w:rsid w:val="000E5338"/>
    <w:rsid w:val="000E57FA"/>
    <w:rsid w:val="000E650F"/>
    <w:rsid w:val="000E660B"/>
    <w:rsid w:val="000F030C"/>
    <w:rsid w:val="000F111B"/>
    <w:rsid w:val="000F129C"/>
    <w:rsid w:val="000F2CCD"/>
    <w:rsid w:val="000F31DF"/>
    <w:rsid w:val="000F40AE"/>
    <w:rsid w:val="000F43B9"/>
    <w:rsid w:val="000F5A9E"/>
    <w:rsid w:val="000F6488"/>
    <w:rsid w:val="000F707C"/>
    <w:rsid w:val="00101043"/>
    <w:rsid w:val="00101A84"/>
    <w:rsid w:val="00101BA9"/>
    <w:rsid w:val="00102771"/>
    <w:rsid w:val="00102C0C"/>
    <w:rsid w:val="00102EB4"/>
    <w:rsid w:val="00103256"/>
    <w:rsid w:val="00104101"/>
    <w:rsid w:val="001056DE"/>
    <w:rsid w:val="0011129A"/>
    <w:rsid w:val="00111345"/>
    <w:rsid w:val="0011142A"/>
    <w:rsid w:val="001124C0"/>
    <w:rsid w:val="00112AF4"/>
    <w:rsid w:val="00114953"/>
    <w:rsid w:val="00114B41"/>
    <w:rsid w:val="001157C9"/>
    <w:rsid w:val="0011622A"/>
    <w:rsid w:val="00120394"/>
    <w:rsid w:val="00120816"/>
    <w:rsid w:val="00121113"/>
    <w:rsid w:val="00121BB1"/>
    <w:rsid w:val="00121DDD"/>
    <w:rsid w:val="0012658D"/>
    <w:rsid w:val="001268DC"/>
    <w:rsid w:val="0013175F"/>
    <w:rsid w:val="00132E93"/>
    <w:rsid w:val="0013399B"/>
    <w:rsid w:val="00133F4B"/>
    <w:rsid w:val="00133FCF"/>
    <w:rsid w:val="0013494E"/>
    <w:rsid w:val="00134EB0"/>
    <w:rsid w:val="00136AA0"/>
    <w:rsid w:val="00140B4B"/>
    <w:rsid w:val="0014257A"/>
    <w:rsid w:val="0014426E"/>
    <w:rsid w:val="00145E76"/>
    <w:rsid w:val="0014601C"/>
    <w:rsid w:val="0014756B"/>
    <w:rsid w:val="001478E3"/>
    <w:rsid w:val="00147A38"/>
    <w:rsid w:val="00150DCE"/>
    <w:rsid w:val="001512B4"/>
    <w:rsid w:val="00151813"/>
    <w:rsid w:val="00153A67"/>
    <w:rsid w:val="00154000"/>
    <w:rsid w:val="00154F0A"/>
    <w:rsid w:val="00155A00"/>
    <w:rsid w:val="00160F01"/>
    <w:rsid w:val="0016202A"/>
    <w:rsid w:val="001620A5"/>
    <w:rsid w:val="00163C00"/>
    <w:rsid w:val="00164E53"/>
    <w:rsid w:val="0016699D"/>
    <w:rsid w:val="001671DD"/>
    <w:rsid w:val="00167D45"/>
    <w:rsid w:val="00171687"/>
    <w:rsid w:val="001734FF"/>
    <w:rsid w:val="00173748"/>
    <w:rsid w:val="00173B16"/>
    <w:rsid w:val="00175159"/>
    <w:rsid w:val="00175C2A"/>
    <w:rsid w:val="00176208"/>
    <w:rsid w:val="001801A8"/>
    <w:rsid w:val="0018082B"/>
    <w:rsid w:val="001812EB"/>
    <w:rsid w:val="00181BC7"/>
    <w:rsid w:val="00181EC7"/>
    <w:rsid w:val="0018211B"/>
    <w:rsid w:val="00182BE5"/>
    <w:rsid w:val="00182F05"/>
    <w:rsid w:val="001840D3"/>
    <w:rsid w:val="00185244"/>
    <w:rsid w:val="00187D2B"/>
    <w:rsid w:val="001900F8"/>
    <w:rsid w:val="00191258"/>
    <w:rsid w:val="00192680"/>
    <w:rsid w:val="001929AD"/>
    <w:rsid w:val="00193037"/>
    <w:rsid w:val="001934F5"/>
    <w:rsid w:val="00193A2C"/>
    <w:rsid w:val="00194295"/>
    <w:rsid w:val="001943B3"/>
    <w:rsid w:val="00194889"/>
    <w:rsid w:val="001948B0"/>
    <w:rsid w:val="00195E5A"/>
    <w:rsid w:val="001960D8"/>
    <w:rsid w:val="0019767D"/>
    <w:rsid w:val="0019772A"/>
    <w:rsid w:val="00197783"/>
    <w:rsid w:val="00197A51"/>
    <w:rsid w:val="001A0203"/>
    <w:rsid w:val="001A1783"/>
    <w:rsid w:val="001A202B"/>
    <w:rsid w:val="001A210E"/>
    <w:rsid w:val="001A288E"/>
    <w:rsid w:val="001A2FFB"/>
    <w:rsid w:val="001A41AE"/>
    <w:rsid w:val="001A53D1"/>
    <w:rsid w:val="001A6582"/>
    <w:rsid w:val="001A7014"/>
    <w:rsid w:val="001B0D16"/>
    <w:rsid w:val="001B0FC8"/>
    <w:rsid w:val="001B4E26"/>
    <w:rsid w:val="001B5B4D"/>
    <w:rsid w:val="001B6479"/>
    <w:rsid w:val="001B6DC2"/>
    <w:rsid w:val="001B6E1A"/>
    <w:rsid w:val="001C149C"/>
    <w:rsid w:val="001C1563"/>
    <w:rsid w:val="001C21AC"/>
    <w:rsid w:val="001C2D8F"/>
    <w:rsid w:val="001C32C9"/>
    <w:rsid w:val="001C4108"/>
    <w:rsid w:val="001C4113"/>
    <w:rsid w:val="001C47BA"/>
    <w:rsid w:val="001C5516"/>
    <w:rsid w:val="001C59EA"/>
    <w:rsid w:val="001C6321"/>
    <w:rsid w:val="001C6C55"/>
    <w:rsid w:val="001C7155"/>
    <w:rsid w:val="001C7394"/>
    <w:rsid w:val="001C7DA1"/>
    <w:rsid w:val="001C7F94"/>
    <w:rsid w:val="001D0FB4"/>
    <w:rsid w:val="001D11B5"/>
    <w:rsid w:val="001D1B8C"/>
    <w:rsid w:val="001D2119"/>
    <w:rsid w:val="001D406C"/>
    <w:rsid w:val="001D41EE"/>
    <w:rsid w:val="001D4476"/>
    <w:rsid w:val="001D50A8"/>
    <w:rsid w:val="001D548A"/>
    <w:rsid w:val="001D55C3"/>
    <w:rsid w:val="001D58E4"/>
    <w:rsid w:val="001D6325"/>
    <w:rsid w:val="001D70B0"/>
    <w:rsid w:val="001E0380"/>
    <w:rsid w:val="001E13B1"/>
    <w:rsid w:val="001E2137"/>
    <w:rsid w:val="001E31F5"/>
    <w:rsid w:val="001E4818"/>
    <w:rsid w:val="001E522F"/>
    <w:rsid w:val="001E7999"/>
    <w:rsid w:val="001F33C8"/>
    <w:rsid w:val="001F37E9"/>
    <w:rsid w:val="001F3A19"/>
    <w:rsid w:val="001F4752"/>
    <w:rsid w:val="001F7AC9"/>
    <w:rsid w:val="002002DF"/>
    <w:rsid w:val="00200E9D"/>
    <w:rsid w:val="00202D7B"/>
    <w:rsid w:val="00202DE7"/>
    <w:rsid w:val="00207220"/>
    <w:rsid w:val="002102DB"/>
    <w:rsid w:val="002115C5"/>
    <w:rsid w:val="00212108"/>
    <w:rsid w:val="002135D3"/>
    <w:rsid w:val="00216281"/>
    <w:rsid w:val="00216803"/>
    <w:rsid w:val="00216F2F"/>
    <w:rsid w:val="00220476"/>
    <w:rsid w:val="00220478"/>
    <w:rsid w:val="0022074A"/>
    <w:rsid w:val="00222ABD"/>
    <w:rsid w:val="0022384E"/>
    <w:rsid w:val="00223B7F"/>
    <w:rsid w:val="00224FCD"/>
    <w:rsid w:val="00226CFA"/>
    <w:rsid w:val="0022760F"/>
    <w:rsid w:val="00227DC1"/>
    <w:rsid w:val="002315B0"/>
    <w:rsid w:val="00233819"/>
    <w:rsid w:val="00234467"/>
    <w:rsid w:val="00237D8D"/>
    <w:rsid w:val="00241145"/>
    <w:rsid w:val="002413BE"/>
    <w:rsid w:val="002417CB"/>
    <w:rsid w:val="00241894"/>
    <w:rsid w:val="00241DA2"/>
    <w:rsid w:val="002437BA"/>
    <w:rsid w:val="00245366"/>
    <w:rsid w:val="00247C40"/>
    <w:rsid w:val="00247FEE"/>
    <w:rsid w:val="00250A3F"/>
    <w:rsid w:val="00250E7D"/>
    <w:rsid w:val="00250E91"/>
    <w:rsid w:val="00252C26"/>
    <w:rsid w:val="0025425C"/>
    <w:rsid w:val="0025617A"/>
    <w:rsid w:val="002565D5"/>
    <w:rsid w:val="002578CA"/>
    <w:rsid w:val="00261C4C"/>
    <w:rsid w:val="002622C0"/>
    <w:rsid w:val="00262D00"/>
    <w:rsid w:val="00262DA0"/>
    <w:rsid w:val="00262F2E"/>
    <w:rsid w:val="00263002"/>
    <w:rsid w:val="00263E7F"/>
    <w:rsid w:val="00263EA3"/>
    <w:rsid w:val="00264018"/>
    <w:rsid w:val="002652D7"/>
    <w:rsid w:val="00266B00"/>
    <w:rsid w:val="002738AD"/>
    <w:rsid w:val="00275AD7"/>
    <w:rsid w:val="002760BD"/>
    <w:rsid w:val="002764E0"/>
    <w:rsid w:val="00276502"/>
    <w:rsid w:val="00277372"/>
    <w:rsid w:val="002778AE"/>
    <w:rsid w:val="00277BEB"/>
    <w:rsid w:val="0028050F"/>
    <w:rsid w:val="002813D4"/>
    <w:rsid w:val="0028269A"/>
    <w:rsid w:val="00282F45"/>
    <w:rsid w:val="00283590"/>
    <w:rsid w:val="00283711"/>
    <w:rsid w:val="002859E1"/>
    <w:rsid w:val="00285AF7"/>
    <w:rsid w:val="00285B20"/>
    <w:rsid w:val="00286450"/>
    <w:rsid w:val="00286973"/>
    <w:rsid w:val="00286B6B"/>
    <w:rsid w:val="0028716D"/>
    <w:rsid w:val="002920BC"/>
    <w:rsid w:val="002920ED"/>
    <w:rsid w:val="00294E70"/>
    <w:rsid w:val="00295EA0"/>
    <w:rsid w:val="002960F3"/>
    <w:rsid w:val="002961BD"/>
    <w:rsid w:val="00296496"/>
    <w:rsid w:val="00296896"/>
    <w:rsid w:val="002A0AE9"/>
    <w:rsid w:val="002A0B99"/>
    <w:rsid w:val="002A0CCE"/>
    <w:rsid w:val="002A1511"/>
    <w:rsid w:val="002A1924"/>
    <w:rsid w:val="002A1C53"/>
    <w:rsid w:val="002A1F4F"/>
    <w:rsid w:val="002A3979"/>
    <w:rsid w:val="002A5C47"/>
    <w:rsid w:val="002A61F2"/>
    <w:rsid w:val="002A6323"/>
    <w:rsid w:val="002A6674"/>
    <w:rsid w:val="002A6FA0"/>
    <w:rsid w:val="002A7420"/>
    <w:rsid w:val="002B0095"/>
    <w:rsid w:val="002B01E0"/>
    <w:rsid w:val="002B0F12"/>
    <w:rsid w:val="002B1308"/>
    <w:rsid w:val="002B2A18"/>
    <w:rsid w:val="002B4554"/>
    <w:rsid w:val="002B4C10"/>
    <w:rsid w:val="002B5C33"/>
    <w:rsid w:val="002B7987"/>
    <w:rsid w:val="002C01FC"/>
    <w:rsid w:val="002C0D25"/>
    <w:rsid w:val="002C2888"/>
    <w:rsid w:val="002C3233"/>
    <w:rsid w:val="002C39F5"/>
    <w:rsid w:val="002C4F14"/>
    <w:rsid w:val="002C64DC"/>
    <w:rsid w:val="002C692D"/>
    <w:rsid w:val="002C72D8"/>
    <w:rsid w:val="002D0CA2"/>
    <w:rsid w:val="002D0DF2"/>
    <w:rsid w:val="002D1179"/>
    <w:rsid w:val="002D11FA"/>
    <w:rsid w:val="002D1E85"/>
    <w:rsid w:val="002D33EE"/>
    <w:rsid w:val="002D46D3"/>
    <w:rsid w:val="002D5682"/>
    <w:rsid w:val="002D5B99"/>
    <w:rsid w:val="002E0203"/>
    <w:rsid w:val="002E03D1"/>
    <w:rsid w:val="002E0857"/>
    <w:rsid w:val="002E0DDF"/>
    <w:rsid w:val="002E15FF"/>
    <w:rsid w:val="002E2906"/>
    <w:rsid w:val="002E3CC6"/>
    <w:rsid w:val="002E3F26"/>
    <w:rsid w:val="002E435F"/>
    <w:rsid w:val="002E4B50"/>
    <w:rsid w:val="002E5635"/>
    <w:rsid w:val="002E64C3"/>
    <w:rsid w:val="002E6A2C"/>
    <w:rsid w:val="002E71C6"/>
    <w:rsid w:val="002F1D8C"/>
    <w:rsid w:val="002F21DA"/>
    <w:rsid w:val="002F3191"/>
    <w:rsid w:val="002F5AAE"/>
    <w:rsid w:val="00300B49"/>
    <w:rsid w:val="00301DDF"/>
    <w:rsid w:val="00301F39"/>
    <w:rsid w:val="003026EA"/>
    <w:rsid w:val="00303F97"/>
    <w:rsid w:val="00307267"/>
    <w:rsid w:val="00307278"/>
    <w:rsid w:val="003103B1"/>
    <w:rsid w:val="00311D66"/>
    <w:rsid w:val="0031230C"/>
    <w:rsid w:val="0031282A"/>
    <w:rsid w:val="00313B2A"/>
    <w:rsid w:val="003151F1"/>
    <w:rsid w:val="00317E36"/>
    <w:rsid w:val="0032285D"/>
    <w:rsid w:val="003232B0"/>
    <w:rsid w:val="00324650"/>
    <w:rsid w:val="00324720"/>
    <w:rsid w:val="00324A8F"/>
    <w:rsid w:val="00325926"/>
    <w:rsid w:val="0032601C"/>
    <w:rsid w:val="00327A8A"/>
    <w:rsid w:val="003303EC"/>
    <w:rsid w:val="003320D4"/>
    <w:rsid w:val="00332ECD"/>
    <w:rsid w:val="00334234"/>
    <w:rsid w:val="00335086"/>
    <w:rsid w:val="003358C0"/>
    <w:rsid w:val="00335A47"/>
    <w:rsid w:val="00336610"/>
    <w:rsid w:val="00336873"/>
    <w:rsid w:val="00337C66"/>
    <w:rsid w:val="00337CCA"/>
    <w:rsid w:val="0034155A"/>
    <w:rsid w:val="003422AA"/>
    <w:rsid w:val="00343E5F"/>
    <w:rsid w:val="00343F73"/>
    <w:rsid w:val="00345060"/>
    <w:rsid w:val="00347453"/>
    <w:rsid w:val="00351027"/>
    <w:rsid w:val="0035251E"/>
    <w:rsid w:val="003528F1"/>
    <w:rsid w:val="00352CB4"/>
    <w:rsid w:val="0035323B"/>
    <w:rsid w:val="0035406C"/>
    <w:rsid w:val="0035614F"/>
    <w:rsid w:val="00360074"/>
    <w:rsid w:val="00360249"/>
    <w:rsid w:val="003609D2"/>
    <w:rsid w:val="00361BE8"/>
    <w:rsid w:val="00361E65"/>
    <w:rsid w:val="0036280E"/>
    <w:rsid w:val="00363B82"/>
    <w:rsid w:val="00363F22"/>
    <w:rsid w:val="00364660"/>
    <w:rsid w:val="00364A83"/>
    <w:rsid w:val="0036705A"/>
    <w:rsid w:val="00370431"/>
    <w:rsid w:val="00370AEA"/>
    <w:rsid w:val="00370EA3"/>
    <w:rsid w:val="00371A16"/>
    <w:rsid w:val="00371AB1"/>
    <w:rsid w:val="00371B55"/>
    <w:rsid w:val="003737F3"/>
    <w:rsid w:val="003743F8"/>
    <w:rsid w:val="00375564"/>
    <w:rsid w:val="00375D70"/>
    <w:rsid w:val="00377053"/>
    <w:rsid w:val="00380BAF"/>
    <w:rsid w:val="003813AA"/>
    <w:rsid w:val="0038181A"/>
    <w:rsid w:val="00383191"/>
    <w:rsid w:val="00386DED"/>
    <w:rsid w:val="00386E9F"/>
    <w:rsid w:val="003871A9"/>
    <w:rsid w:val="00387539"/>
    <w:rsid w:val="00387C43"/>
    <w:rsid w:val="003912E7"/>
    <w:rsid w:val="003922E7"/>
    <w:rsid w:val="003937F6"/>
    <w:rsid w:val="00393947"/>
    <w:rsid w:val="00394120"/>
    <w:rsid w:val="00394720"/>
    <w:rsid w:val="00396317"/>
    <w:rsid w:val="003967D2"/>
    <w:rsid w:val="003976A3"/>
    <w:rsid w:val="00397A0B"/>
    <w:rsid w:val="003A000A"/>
    <w:rsid w:val="003A00DA"/>
    <w:rsid w:val="003A0A60"/>
    <w:rsid w:val="003A220F"/>
    <w:rsid w:val="003A2275"/>
    <w:rsid w:val="003A4AB0"/>
    <w:rsid w:val="003A6758"/>
    <w:rsid w:val="003A6A4F"/>
    <w:rsid w:val="003A7088"/>
    <w:rsid w:val="003B00DF"/>
    <w:rsid w:val="003B064E"/>
    <w:rsid w:val="003B0E85"/>
    <w:rsid w:val="003B1275"/>
    <w:rsid w:val="003B1778"/>
    <w:rsid w:val="003B1F08"/>
    <w:rsid w:val="003B1F21"/>
    <w:rsid w:val="003B469A"/>
    <w:rsid w:val="003B52F8"/>
    <w:rsid w:val="003B57C8"/>
    <w:rsid w:val="003B59C3"/>
    <w:rsid w:val="003B6CE9"/>
    <w:rsid w:val="003C0AF4"/>
    <w:rsid w:val="003C11CB"/>
    <w:rsid w:val="003C24B2"/>
    <w:rsid w:val="003C2C9D"/>
    <w:rsid w:val="003C3B1F"/>
    <w:rsid w:val="003C59C3"/>
    <w:rsid w:val="003C5F15"/>
    <w:rsid w:val="003C74B6"/>
    <w:rsid w:val="003C75F3"/>
    <w:rsid w:val="003C75F4"/>
    <w:rsid w:val="003C788E"/>
    <w:rsid w:val="003C78A3"/>
    <w:rsid w:val="003C79C5"/>
    <w:rsid w:val="003C7EB7"/>
    <w:rsid w:val="003D0D83"/>
    <w:rsid w:val="003D30F4"/>
    <w:rsid w:val="003D48C6"/>
    <w:rsid w:val="003E0534"/>
    <w:rsid w:val="003E0CA0"/>
    <w:rsid w:val="003E1867"/>
    <w:rsid w:val="003E26B2"/>
    <w:rsid w:val="003E396C"/>
    <w:rsid w:val="003E56B8"/>
    <w:rsid w:val="003E5729"/>
    <w:rsid w:val="003E6E7B"/>
    <w:rsid w:val="003E7818"/>
    <w:rsid w:val="003F3700"/>
    <w:rsid w:val="003F3F97"/>
    <w:rsid w:val="003F4EE0"/>
    <w:rsid w:val="003F5F04"/>
    <w:rsid w:val="003F74C1"/>
    <w:rsid w:val="00402153"/>
    <w:rsid w:val="004022CF"/>
    <w:rsid w:val="00402FC1"/>
    <w:rsid w:val="00403235"/>
    <w:rsid w:val="00403AB0"/>
    <w:rsid w:val="00404887"/>
    <w:rsid w:val="00404B37"/>
    <w:rsid w:val="00404D12"/>
    <w:rsid w:val="00406187"/>
    <w:rsid w:val="00413556"/>
    <w:rsid w:val="00414092"/>
    <w:rsid w:val="004151CA"/>
    <w:rsid w:val="00415347"/>
    <w:rsid w:val="004163B5"/>
    <w:rsid w:val="0041734E"/>
    <w:rsid w:val="0041740D"/>
    <w:rsid w:val="0041795F"/>
    <w:rsid w:val="00422A4F"/>
    <w:rsid w:val="00425082"/>
    <w:rsid w:val="00427714"/>
    <w:rsid w:val="00430443"/>
    <w:rsid w:val="00431D16"/>
    <w:rsid w:val="00431D47"/>
    <w:rsid w:val="00431DEB"/>
    <w:rsid w:val="0043270F"/>
    <w:rsid w:val="00432FA3"/>
    <w:rsid w:val="00433310"/>
    <w:rsid w:val="0043429A"/>
    <w:rsid w:val="00435734"/>
    <w:rsid w:val="00435909"/>
    <w:rsid w:val="00435A7D"/>
    <w:rsid w:val="00435D1D"/>
    <w:rsid w:val="004372EE"/>
    <w:rsid w:val="00437B5D"/>
    <w:rsid w:val="004410ED"/>
    <w:rsid w:val="00441996"/>
    <w:rsid w:val="0044345E"/>
    <w:rsid w:val="004439A4"/>
    <w:rsid w:val="00444AD2"/>
    <w:rsid w:val="00444C23"/>
    <w:rsid w:val="00445A21"/>
    <w:rsid w:val="004463CF"/>
    <w:rsid w:val="00446B29"/>
    <w:rsid w:val="00446D06"/>
    <w:rsid w:val="0045168D"/>
    <w:rsid w:val="00451953"/>
    <w:rsid w:val="00451C57"/>
    <w:rsid w:val="00453F9A"/>
    <w:rsid w:val="004546DF"/>
    <w:rsid w:val="00455AB8"/>
    <w:rsid w:val="00455D03"/>
    <w:rsid w:val="00456878"/>
    <w:rsid w:val="00461FD4"/>
    <w:rsid w:val="004625D4"/>
    <w:rsid w:val="0046270F"/>
    <w:rsid w:val="004668C5"/>
    <w:rsid w:val="0046745B"/>
    <w:rsid w:val="004677C2"/>
    <w:rsid w:val="00471E91"/>
    <w:rsid w:val="004732C3"/>
    <w:rsid w:val="00474675"/>
    <w:rsid w:val="0047470C"/>
    <w:rsid w:val="004748A2"/>
    <w:rsid w:val="00474AC7"/>
    <w:rsid w:val="0047568A"/>
    <w:rsid w:val="004761E5"/>
    <w:rsid w:val="004762BA"/>
    <w:rsid w:val="00476D7E"/>
    <w:rsid w:val="0048021F"/>
    <w:rsid w:val="00480DBF"/>
    <w:rsid w:val="00483050"/>
    <w:rsid w:val="004837BC"/>
    <w:rsid w:val="00483E7F"/>
    <w:rsid w:val="00484289"/>
    <w:rsid w:val="00485F56"/>
    <w:rsid w:val="00485F69"/>
    <w:rsid w:val="00487A98"/>
    <w:rsid w:val="00487B47"/>
    <w:rsid w:val="00487BEC"/>
    <w:rsid w:val="004928DA"/>
    <w:rsid w:val="00492D34"/>
    <w:rsid w:val="0049379F"/>
    <w:rsid w:val="00494767"/>
    <w:rsid w:val="00495569"/>
    <w:rsid w:val="0049703F"/>
    <w:rsid w:val="004A03DE"/>
    <w:rsid w:val="004A0C4C"/>
    <w:rsid w:val="004A1E99"/>
    <w:rsid w:val="004A21B4"/>
    <w:rsid w:val="004A236F"/>
    <w:rsid w:val="004A2B8B"/>
    <w:rsid w:val="004A35DA"/>
    <w:rsid w:val="004A35F9"/>
    <w:rsid w:val="004A3704"/>
    <w:rsid w:val="004A3D59"/>
    <w:rsid w:val="004A502B"/>
    <w:rsid w:val="004A60D5"/>
    <w:rsid w:val="004A6595"/>
    <w:rsid w:val="004A6812"/>
    <w:rsid w:val="004A77C0"/>
    <w:rsid w:val="004B0B6C"/>
    <w:rsid w:val="004B24C1"/>
    <w:rsid w:val="004B2CD8"/>
    <w:rsid w:val="004B488F"/>
    <w:rsid w:val="004B6AA7"/>
    <w:rsid w:val="004B709D"/>
    <w:rsid w:val="004C2018"/>
    <w:rsid w:val="004C24D2"/>
    <w:rsid w:val="004C292F"/>
    <w:rsid w:val="004C3623"/>
    <w:rsid w:val="004C4EA9"/>
    <w:rsid w:val="004C4F1B"/>
    <w:rsid w:val="004C54BF"/>
    <w:rsid w:val="004C6D8C"/>
    <w:rsid w:val="004D2A12"/>
    <w:rsid w:val="004D2FE8"/>
    <w:rsid w:val="004D3329"/>
    <w:rsid w:val="004D3CA7"/>
    <w:rsid w:val="004D5696"/>
    <w:rsid w:val="004D7AAE"/>
    <w:rsid w:val="004E0561"/>
    <w:rsid w:val="004E0DA9"/>
    <w:rsid w:val="004E23E9"/>
    <w:rsid w:val="004E4C81"/>
    <w:rsid w:val="004E54E7"/>
    <w:rsid w:val="004E58DD"/>
    <w:rsid w:val="004F1852"/>
    <w:rsid w:val="004F194D"/>
    <w:rsid w:val="004F1C6D"/>
    <w:rsid w:val="004F2C24"/>
    <w:rsid w:val="00500A7E"/>
    <w:rsid w:val="00500D73"/>
    <w:rsid w:val="00501944"/>
    <w:rsid w:val="00501F44"/>
    <w:rsid w:val="005042C1"/>
    <w:rsid w:val="00505A47"/>
    <w:rsid w:val="00505AD9"/>
    <w:rsid w:val="00506235"/>
    <w:rsid w:val="005068BE"/>
    <w:rsid w:val="00506D91"/>
    <w:rsid w:val="0050784B"/>
    <w:rsid w:val="00507B27"/>
    <w:rsid w:val="00510280"/>
    <w:rsid w:val="00510FE7"/>
    <w:rsid w:val="00511223"/>
    <w:rsid w:val="005119A8"/>
    <w:rsid w:val="00511B61"/>
    <w:rsid w:val="00511D7D"/>
    <w:rsid w:val="00512B36"/>
    <w:rsid w:val="00512B9A"/>
    <w:rsid w:val="00513059"/>
    <w:rsid w:val="00513296"/>
    <w:rsid w:val="00513BC0"/>
    <w:rsid w:val="00513D73"/>
    <w:rsid w:val="00514A43"/>
    <w:rsid w:val="00514B01"/>
    <w:rsid w:val="005174E5"/>
    <w:rsid w:val="005201DF"/>
    <w:rsid w:val="00520FBF"/>
    <w:rsid w:val="00521065"/>
    <w:rsid w:val="00522393"/>
    <w:rsid w:val="00522620"/>
    <w:rsid w:val="00522B01"/>
    <w:rsid w:val="00522EE5"/>
    <w:rsid w:val="00523145"/>
    <w:rsid w:val="0052346B"/>
    <w:rsid w:val="0052445F"/>
    <w:rsid w:val="00525581"/>
    <w:rsid w:val="00525656"/>
    <w:rsid w:val="00526220"/>
    <w:rsid w:val="00527682"/>
    <w:rsid w:val="00530B3B"/>
    <w:rsid w:val="0053291E"/>
    <w:rsid w:val="00532C1F"/>
    <w:rsid w:val="00533FC6"/>
    <w:rsid w:val="00534C02"/>
    <w:rsid w:val="00536D59"/>
    <w:rsid w:val="00537636"/>
    <w:rsid w:val="00540256"/>
    <w:rsid w:val="00540DE9"/>
    <w:rsid w:val="00541BE3"/>
    <w:rsid w:val="00542336"/>
    <w:rsid w:val="0054264B"/>
    <w:rsid w:val="00543786"/>
    <w:rsid w:val="00545543"/>
    <w:rsid w:val="00545DC7"/>
    <w:rsid w:val="00546704"/>
    <w:rsid w:val="00550F3C"/>
    <w:rsid w:val="00551AF4"/>
    <w:rsid w:val="00552DEF"/>
    <w:rsid w:val="005533D7"/>
    <w:rsid w:val="00553E19"/>
    <w:rsid w:val="00557A6B"/>
    <w:rsid w:val="00557D08"/>
    <w:rsid w:val="00560986"/>
    <w:rsid w:val="00560B35"/>
    <w:rsid w:val="00560C45"/>
    <w:rsid w:val="00561B91"/>
    <w:rsid w:val="005623EF"/>
    <w:rsid w:val="00562A40"/>
    <w:rsid w:val="00562ABB"/>
    <w:rsid w:val="00563E34"/>
    <w:rsid w:val="005642AF"/>
    <w:rsid w:val="00565103"/>
    <w:rsid w:val="0056648B"/>
    <w:rsid w:val="005672B5"/>
    <w:rsid w:val="005703DE"/>
    <w:rsid w:val="00572C0C"/>
    <w:rsid w:val="00573862"/>
    <w:rsid w:val="005740FB"/>
    <w:rsid w:val="00576CFF"/>
    <w:rsid w:val="00580290"/>
    <w:rsid w:val="005818CC"/>
    <w:rsid w:val="0058464E"/>
    <w:rsid w:val="00584696"/>
    <w:rsid w:val="00585D97"/>
    <w:rsid w:val="00590381"/>
    <w:rsid w:val="0059052D"/>
    <w:rsid w:val="00591220"/>
    <w:rsid w:val="00591530"/>
    <w:rsid w:val="005923E1"/>
    <w:rsid w:val="00592879"/>
    <w:rsid w:val="005971DC"/>
    <w:rsid w:val="00597A13"/>
    <w:rsid w:val="005A01CB"/>
    <w:rsid w:val="005A1A45"/>
    <w:rsid w:val="005A2322"/>
    <w:rsid w:val="005A54E9"/>
    <w:rsid w:val="005A58FF"/>
    <w:rsid w:val="005A5EAF"/>
    <w:rsid w:val="005A6108"/>
    <w:rsid w:val="005A6433"/>
    <w:rsid w:val="005A64C0"/>
    <w:rsid w:val="005A7402"/>
    <w:rsid w:val="005A7717"/>
    <w:rsid w:val="005B09D2"/>
    <w:rsid w:val="005B3C11"/>
    <w:rsid w:val="005B3FB8"/>
    <w:rsid w:val="005B4BB7"/>
    <w:rsid w:val="005B6293"/>
    <w:rsid w:val="005C1394"/>
    <w:rsid w:val="005C1C28"/>
    <w:rsid w:val="005C1D7E"/>
    <w:rsid w:val="005C2123"/>
    <w:rsid w:val="005C2259"/>
    <w:rsid w:val="005C2E87"/>
    <w:rsid w:val="005C3C97"/>
    <w:rsid w:val="005C4253"/>
    <w:rsid w:val="005C6DB5"/>
    <w:rsid w:val="005C74EA"/>
    <w:rsid w:val="005D1559"/>
    <w:rsid w:val="005D1D54"/>
    <w:rsid w:val="005D61C5"/>
    <w:rsid w:val="005D6EC7"/>
    <w:rsid w:val="005E1790"/>
    <w:rsid w:val="005E19D8"/>
    <w:rsid w:val="005E19E7"/>
    <w:rsid w:val="005E262C"/>
    <w:rsid w:val="005E332C"/>
    <w:rsid w:val="005E3750"/>
    <w:rsid w:val="005E6262"/>
    <w:rsid w:val="005E6F3E"/>
    <w:rsid w:val="005E73E7"/>
    <w:rsid w:val="005E7921"/>
    <w:rsid w:val="005F09ED"/>
    <w:rsid w:val="005F25BD"/>
    <w:rsid w:val="005F5105"/>
    <w:rsid w:val="005F5E01"/>
    <w:rsid w:val="006005F1"/>
    <w:rsid w:val="006011E1"/>
    <w:rsid w:val="006017CF"/>
    <w:rsid w:val="0060232B"/>
    <w:rsid w:val="00602474"/>
    <w:rsid w:val="00602A52"/>
    <w:rsid w:val="00603891"/>
    <w:rsid w:val="00604A17"/>
    <w:rsid w:val="00604F81"/>
    <w:rsid w:val="00606DE5"/>
    <w:rsid w:val="0060721E"/>
    <w:rsid w:val="0060724D"/>
    <w:rsid w:val="0061069D"/>
    <w:rsid w:val="006108DA"/>
    <w:rsid w:val="006122B7"/>
    <w:rsid w:val="006122DF"/>
    <w:rsid w:val="00612F53"/>
    <w:rsid w:val="006136F7"/>
    <w:rsid w:val="00613B66"/>
    <w:rsid w:val="00614018"/>
    <w:rsid w:val="0061716C"/>
    <w:rsid w:val="00617BEC"/>
    <w:rsid w:val="00617C25"/>
    <w:rsid w:val="00620E84"/>
    <w:rsid w:val="006229EB"/>
    <w:rsid w:val="006243A1"/>
    <w:rsid w:val="006243F6"/>
    <w:rsid w:val="006263B1"/>
    <w:rsid w:val="006268D0"/>
    <w:rsid w:val="00631A89"/>
    <w:rsid w:val="00632183"/>
    <w:rsid w:val="0063224D"/>
    <w:rsid w:val="0063266B"/>
    <w:rsid w:val="00632E56"/>
    <w:rsid w:val="00632FF1"/>
    <w:rsid w:val="006346DE"/>
    <w:rsid w:val="00634E69"/>
    <w:rsid w:val="00634EC3"/>
    <w:rsid w:val="00635CBA"/>
    <w:rsid w:val="0064338B"/>
    <w:rsid w:val="00643576"/>
    <w:rsid w:val="006438AD"/>
    <w:rsid w:val="00644074"/>
    <w:rsid w:val="00644A49"/>
    <w:rsid w:val="0064561A"/>
    <w:rsid w:val="0064563F"/>
    <w:rsid w:val="006463E7"/>
    <w:rsid w:val="00646542"/>
    <w:rsid w:val="006504F4"/>
    <w:rsid w:val="00650CEF"/>
    <w:rsid w:val="00650D6B"/>
    <w:rsid w:val="00653612"/>
    <w:rsid w:val="00654546"/>
    <w:rsid w:val="00654838"/>
    <w:rsid w:val="00654B61"/>
    <w:rsid w:val="00654BC9"/>
    <w:rsid w:val="006552FD"/>
    <w:rsid w:val="00655576"/>
    <w:rsid w:val="00655B0D"/>
    <w:rsid w:val="00656C62"/>
    <w:rsid w:val="00657292"/>
    <w:rsid w:val="00660E12"/>
    <w:rsid w:val="00661D92"/>
    <w:rsid w:val="00662AA2"/>
    <w:rsid w:val="00663AF3"/>
    <w:rsid w:val="006659C2"/>
    <w:rsid w:val="00666B6C"/>
    <w:rsid w:val="00670A82"/>
    <w:rsid w:val="00671475"/>
    <w:rsid w:val="00671AA1"/>
    <w:rsid w:val="00671D71"/>
    <w:rsid w:val="0067454D"/>
    <w:rsid w:val="00674A09"/>
    <w:rsid w:val="006755FF"/>
    <w:rsid w:val="00676D3A"/>
    <w:rsid w:val="0067712A"/>
    <w:rsid w:val="0067735C"/>
    <w:rsid w:val="00681534"/>
    <w:rsid w:val="00681B7D"/>
    <w:rsid w:val="00681D5B"/>
    <w:rsid w:val="0068217C"/>
    <w:rsid w:val="00682682"/>
    <w:rsid w:val="00682702"/>
    <w:rsid w:val="00683591"/>
    <w:rsid w:val="00684919"/>
    <w:rsid w:val="00685DF9"/>
    <w:rsid w:val="00687A3B"/>
    <w:rsid w:val="00687C06"/>
    <w:rsid w:val="00690D54"/>
    <w:rsid w:val="00692368"/>
    <w:rsid w:val="00693AB6"/>
    <w:rsid w:val="00693D0C"/>
    <w:rsid w:val="00694EF6"/>
    <w:rsid w:val="006A1F17"/>
    <w:rsid w:val="006A21A9"/>
    <w:rsid w:val="006A299E"/>
    <w:rsid w:val="006A2EBC"/>
    <w:rsid w:val="006A3369"/>
    <w:rsid w:val="006A41D0"/>
    <w:rsid w:val="006A533F"/>
    <w:rsid w:val="006A5EA0"/>
    <w:rsid w:val="006A6DE0"/>
    <w:rsid w:val="006A783B"/>
    <w:rsid w:val="006A7B33"/>
    <w:rsid w:val="006B1102"/>
    <w:rsid w:val="006B161D"/>
    <w:rsid w:val="006B2385"/>
    <w:rsid w:val="006B253B"/>
    <w:rsid w:val="006B3774"/>
    <w:rsid w:val="006B4C36"/>
    <w:rsid w:val="006B4DD4"/>
    <w:rsid w:val="006B4E13"/>
    <w:rsid w:val="006B59FD"/>
    <w:rsid w:val="006B75DD"/>
    <w:rsid w:val="006B7BCD"/>
    <w:rsid w:val="006B7D12"/>
    <w:rsid w:val="006C1153"/>
    <w:rsid w:val="006C1D16"/>
    <w:rsid w:val="006C3133"/>
    <w:rsid w:val="006C3275"/>
    <w:rsid w:val="006C4C48"/>
    <w:rsid w:val="006C4EE0"/>
    <w:rsid w:val="006C5C54"/>
    <w:rsid w:val="006C5C86"/>
    <w:rsid w:val="006C62EC"/>
    <w:rsid w:val="006C67E0"/>
    <w:rsid w:val="006C6A61"/>
    <w:rsid w:val="006C7ABA"/>
    <w:rsid w:val="006D0004"/>
    <w:rsid w:val="006D03F3"/>
    <w:rsid w:val="006D0AFB"/>
    <w:rsid w:val="006D0D60"/>
    <w:rsid w:val="006D1122"/>
    <w:rsid w:val="006D120B"/>
    <w:rsid w:val="006D162C"/>
    <w:rsid w:val="006D1908"/>
    <w:rsid w:val="006D1BAE"/>
    <w:rsid w:val="006D3C00"/>
    <w:rsid w:val="006D4383"/>
    <w:rsid w:val="006D558D"/>
    <w:rsid w:val="006D572A"/>
    <w:rsid w:val="006E0202"/>
    <w:rsid w:val="006E0CDF"/>
    <w:rsid w:val="006E1D12"/>
    <w:rsid w:val="006E29F5"/>
    <w:rsid w:val="006E2E6D"/>
    <w:rsid w:val="006E30B5"/>
    <w:rsid w:val="006E3675"/>
    <w:rsid w:val="006E4236"/>
    <w:rsid w:val="006E4A7F"/>
    <w:rsid w:val="006E4D63"/>
    <w:rsid w:val="006E6723"/>
    <w:rsid w:val="006E7AD9"/>
    <w:rsid w:val="006F0031"/>
    <w:rsid w:val="006F100A"/>
    <w:rsid w:val="006F1E75"/>
    <w:rsid w:val="006F4148"/>
    <w:rsid w:val="006F66FC"/>
    <w:rsid w:val="006F747D"/>
    <w:rsid w:val="006F7718"/>
    <w:rsid w:val="00700D0E"/>
    <w:rsid w:val="00701179"/>
    <w:rsid w:val="00701AA7"/>
    <w:rsid w:val="007027E5"/>
    <w:rsid w:val="00702C23"/>
    <w:rsid w:val="00703A00"/>
    <w:rsid w:val="00704D5D"/>
    <w:rsid w:val="00704DF6"/>
    <w:rsid w:val="00705785"/>
    <w:rsid w:val="0070651C"/>
    <w:rsid w:val="00706B79"/>
    <w:rsid w:val="007132A3"/>
    <w:rsid w:val="0071368A"/>
    <w:rsid w:val="00714278"/>
    <w:rsid w:val="0071561B"/>
    <w:rsid w:val="00716421"/>
    <w:rsid w:val="00717E77"/>
    <w:rsid w:val="00720D89"/>
    <w:rsid w:val="007211D5"/>
    <w:rsid w:val="00721D69"/>
    <w:rsid w:val="0072234A"/>
    <w:rsid w:val="007224C2"/>
    <w:rsid w:val="0072292D"/>
    <w:rsid w:val="00722A13"/>
    <w:rsid w:val="007236DE"/>
    <w:rsid w:val="00724EFB"/>
    <w:rsid w:val="00726680"/>
    <w:rsid w:val="0072668E"/>
    <w:rsid w:val="00726885"/>
    <w:rsid w:val="00726B60"/>
    <w:rsid w:val="00727623"/>
    <w:rsid w:val="00727C11"/>
    <w:rsid w:val="007306F4"/>
    <w:rsid w:val="0073085E"/>
    <w:rsid w:val="00732310"/>
    <w:rsid w:val="0073448D"/>
    <w:rsid w:val="00736530"/>
    <w:rsid w:val="00741671"/>
    <w:rsid w:val="007419C3"/>
    <w:rsid w:val="00742E70"/>
    <w:rsid w:val="00743596"/>
    <w:rsid w:val="00743A2D"/>
    <w:rsid w:val="00744392"/>
    <w:rsid w:val="007462F7"/>
    <w:rsid w:val="007467A7"/>
    <w:rsid w:val="007469DD"/>
    <w:rsid w:val="0074741B"/>
    <w:rsid w:val="00747488"/>
    <w:rsid w:val="0074759E"/>
    <w:rsid w:val="007477A2"/>
    <w:rsid w:val="007478EA"/>
    <w:rsid w:val="0075129B"/>
    <w:rsid w:val="00751D35"/>
    <w:rsid w:val="00753503"/>
    <w:rsid w:val="0075415C"/>
    <w:rsid w:val="0075570C"/>
    <w:rsid w:val="0076075E"/>
    <w:rsid w:val="0076275C"/>
    <w:rsid w:val="00763502"/>
    <w:rsid w:val="00763889"/>
    <w:rsid w:val="007655E6"/>
    <w:rsid w:val="00765A49"/>
    <w:rsid w:val="007662EB"/>
    <w:rsid w:val="007663DB"/>
    <w:rsid w:val="0076739C"/>
    <w:rsid w:val="00767965"/>
    <w:rsid w:val="00773123"/>
    <w:rsid w:val="007731FF"/>
    <w:rsid w:val="00773597"/>
    <w:rsid w:val="007754C0"/>
    <w:rsid w:val="007760AD"/>
    <w:rsid w:val="00776240"/>
    <w:rsid w:val="00777C31"/>
    <w:rsid w:val="00777F48"/>
    <w:rsid w:val="007802A6"/>
    <w:rsid w:val="0078096C"/>
    <w:rsid w:val="00780F2A"/>
    <w:rsid w:val="00782267"/>
    <w:rsid w:val="00782EE0"/>
    <w:rsid w:val="00783839"/>
    <w:rsid w:val="00784425"/>
    <w:rsid w:val="007845E1"/>
    <w:rsid w:val="007874DE"/>
    <w:rsid w:val="007907E9"/>
    <w:rsid w:val="007913AB"/>
    <w:rsid w:val="007914F7"/>
    <w:rsid w:val="007938ED"/>
    <w:rsid w:val="0079546A"/>
    <w:rsid w:val="00797725"/>
    <w:rsid w:val="0079773A"/>
    <w:rsid w:val="007A2B2E"/>
    <w:rsid w:val="007A3B49"/>
    <w:rsid w:val="007A3CA3"/>
    <w:rsid w:val="007A421F"/>
    <w:rsid w:val="007A43C4"/>
    <w:rsid w:val="007A574E"/>
    <w:rsid w:val="007A6B32"/>
    <w:rsid w:val="007A728A"/>
    <w:rsid w:val="007A7A0C"/>
    <w:rsid w:val="007A7DC2"/>
    <w:rsid w:val="007B1625"/>
    <w:rsid w:val="007B1BB3"/>
    <w:rsid w:val="007B20CB"/>
    <w:rsid w:val="007B2198"/>
    <w:rsid w:val="007B385B"/>
    <w:rsid w:val="007B706E"/>
    <w:rsid w:val="007B71AE"/>
    <w:rsid w:val="007B71EB"/>
    <w:rsid w:val="007B7E62"/>
    <w:rsid w:val="007C0477"/>
    <w:rsid w:val="007C283A"/>
    <w:rsid w:val="007C2842"/>
    <w:rsid w:val="007C31F9"/>
    <w:rsid w:val="007C4AFB"/>
    <w:rsid w:val="007C4E78"/>
    <w:rsid w:val="007C5201"/>
    <w:rsid w:val="007C524E"/>
    <w:rsid w:val="007C5277"/>
    <w:rsid w:val="007C5357"/>
    <w:rsid w:val="007C6205"/>
    <w:rsid w:val="007C63D9"/>
    <w:rsid w:val="007C686A"/>
    <w:rsid w:val="007C6A91"/>
    <w:rsid w:val="007C6CE0"/>
    <w:rsid w:val="007C6DFA"/>
    <w:rsid w:val="007C6ED4"/>
    <w:rsid w:val="007C728E"/>
    <w:rsid w:val="007D0333"/>
    <w:rsid w:val="007D0AC1"/>
    <w:rsid w:val="007D1BD8"/>
    <w:rsid w:val="007D2C53"/>
    <w:rsid w:val="007D2E25"/>
    <w:rsid w:val="007D3505"/>
    <w:rsid w:val="007D3D60"/>
    <w:rsid w:val="007D5504"/>
    <w:rsid w:val="007D56B5"/>
    <w:rsid w:val="007D5BA1"/>
    <w:rsid w:val="007D5C11"/>
    <w:rsid w:val="007D6D4C"/>
    <w:rsid w:val="007D710E"/>
    <w:rsid w:val="007E03E9"/>
    <w:rsid w:val="007E06D9"/>
    <w:rsid w:val="007E1980"/>
    <w:rsid w:val="007E1F84"/>
    <w:rsid w:val="007E22A9"/>
    <w:rsid w:val="007E2F77"/>
    <w:rsid w:val="007E4380"/>
    <w:rsid w:val="007E4B76"/>
    <w:rsid w:val="007E589F"/>
    <w:rsid w:val="007E5EA8"/>
    <w:rsid w:val="007E64ED"/>
    <w:rsid w:val="007E6CD1"/>
    <w:rsid w:val="007F08B5"/>
    <w:rsid w:val="007F0CF1"/>
    <w:rsid w:val="007F12A5"/>
    <w:rsid w:val="007F1816"/>
    <w:rsid w:val="007F1B4F"/>
    <w:rsid w:val="007F2961"/>
    <w:rsid w:val="007F2D11"/>
    <w:rsid w:val="007F4A17"/>
    <w:rsid w:val="007F4BE8"/>
    <w:rsid w:val="007F4CF1"/>
    <w:rsid w:val="007F4E74"/>
    <w:rsid w:val="007F59BE"/>
    <w:rsid w:val="007F59D8"/>
    <w:rsid w:val="007F5CD7"/>
    <w:rsid w:val="007F6706"/>
    <w:rsid w:val="007F6781"/>
    <w:rsid w:val="007F758D"/>
    <w:rsid w:val="007F7BE4"/>
    <w:rsid w:val="007F7D52"/>
    <w:rsid w:val="0080166C"/>
    <w:rsid w:val="008019BB"/>
    <w:rsid w:val="00801E9D"/>
    <w:rsid w:val="00803147"/>
    <w:rsid w:val="0080654C"/>
    <w:rsid w:val="008071C6"/>
    <w:rsid w:val="00807D09"/>
    <w:rsid w:val="00810710"/>
    <w:rsid w:val="00810B12"/>
    <w:rsid w:val="008125F6"/>
    <w:rsid w:val="008177A4"/>
    <w:rsid w:val="00817A00"/>
    <w:rsid w:val="00817F9B"/>
    <w:rsid w:val="0082055D"/>
    <w:rsid w:val="00820E77"/>
    <w:rsid w:val="0082297A"/>
    <w:rsid w:val="008236B4"/>
    <w:rsid w:val="00823885"/>
    <w:rsid w:val="008248F5"/>
    <w:rsid w:val="00825EA2"/>
    <w:rsid w:val="00827C99"/>
    <w:rsid w:val="0083070C"/>
    <w:rsid w:val="008308AE"/>
    <w:rsid w:val="00831546"/>
    <w:rsid w:val="00832B35"/>
    <w:rsid w:val="00835573"/>
    <w:rsid w:val="0083572F"/>
    <w:rsid w:val="00835DB3"/>
    <w:rsid w:val="0083617B"/>
    <w:rsid w:val="0083678C"/>
    <w:rsid w:val="008371BD"/>
    <w:rsid w:val="008416BF"/>
    <w:rsid w:val="00841A53"/>
    <w:rsid w:val="00842A8C"/>
    <w:rsid w:val="0084694F"/>
    <w:rsid w:val="00847021"/>
    <w:rsid w:val="008504A8"/>
    <w:rsid w:val="00850D9F"/>
    <w:rsid w:val="0085150A"/>
    <w:rsid w:val="008515C2"/>
    <w:rsid w:val="00852506"/>
    <w:rsid w:val="0085282E"/>
    <w:rsid w:val="0085313F"/>
    <w:rsid w:val="0085329B"/>
    <w:rsid w:val="00853EC8"/>
    <w:rsid w:val="00854736"/>
    <w:rsid w:val="00855118"/>
    <w:rsid w:val="00855CD9"/>
    <w:rsid w:val="008567E6"/>
    <w:rsid w:val="00857529"/>
    <w:rsid w:val="008614BB"/>
    <w:rsid w:val="00861512"/>
    <w:rsid w:val="00861BEE"/>
    <w:rsid w:val="00861D77"/>
    <w:rsid w:val="008649FD"/>
    <w:rsid w:val="00867C3E"/>
    <w:rsid w:val="008707E4"/>
    <w:rsid w:val="00870D0E"/>
    <w:rsid w:val="00871705"/>
    <w:rsid w:val="0087198C"/>
    <w:rsid w:val="0087248E"/>
    <w:rsid w:val="00872C1F"/>
    <w:rsid w:val="00873B42"/>
    <w:rsid w:val="00877F0E"/>
    <w:rsid w:val="00880E27"/>
    <w:rsid w:val="008817AE"/>
    <w:rsid w:val="00882E43"/>
    <w:rsid w:val="008853A4"/>
    <w:rsid w:val="008856D8"/>
    <w:rsid w:val="008858FB"/>
    <w:rsid w:val="00885A9F"/>
    <w:rsid w:val="008873AE"/>
    <w:rsid w:val="0089039B"/>
    <w:rsid w:val="008907A4"/>
    <w:rsid w:val="00892DC2"/>
    <w:rsid w:val="00892E82"/>
    <w:rsid w:val="0089383B"/>
    <w:rsid w:val="00893BB9"/>
    <w:rsid w:val="00894258"/>
    <w:rsid w:val="00894B6F"/>
    <w:rsid w:val="00895315"/>
    <w:rsid w:val="00896930"/>
    <w:rsid w:val="00897483"/>
    <w:rsid w:val="00897C94"/>
    <w:rsid w:val="008A0099"/>
    <w:rsid w:val="008A09B1"/>
    <w:rsid w:val="008A256B"/>
    <w:rsid w:val="008A2D57"/>
    <w:rsid w:val="008A3E3B"/>
    <w:rsid w:val="008A4E7F"/>
    <w:rsid w:val="008B0D8B"/>
    <w:rsid w:val="008B17A4"/>
    <w:rsid w:val="008B18F8"/>
    <w:rsid w:val="008B2854"/>
    <w:rsid w:val="008B395D"/>
    <w:rsid w:val="008B41CB"/>
    <w:rsid w:val="008B41D5"/>
    <w:rsid w:val="008B44DE"/>
    <w:rsid w:val="008B5175"/>
    <w:rsid w:val="008B72A2"/>
    <w:rsid w:val="008C10E3"/>
    <w:rsid w:val="008C11BC"/>
    <w:rsid w:val="008C1B58"/>
    <w:rsid w:val="008C247D"/>
    <w:rsid w:val="008C27D5"/>
    <w:rsid w:val="008C39AE"/>
    <w:rsid w:val="008C44B7"/>
    <w:rsid w:val="008C590D"/>
    <w:rsid w:val="008C6580"/>
    <w:rsid w:val="008D07A3"/>
    <w:rsid w:val="008D1FAE"/>
    <w:rsid w:val="008D277F"/>
    <w:rsid w:val="008D3FDA"/>
    <w:rsid w:val="008D54A9"/>
    <w:rsid w:val="008D56C8"/>
    <w:rsid w:val="008D68AF"/>
    <w:rsid w:val="008D6B2B"/>
    <w:rsid w:val="008E031B"/>
    <w:rsid w:val="008E0836"/>
    <w:rsid w:val="008E0EA1"/>
    <w:rsid w:val="008E1052"/>
    <w:rsid w:val="008E109E"/>
    <w:rsid w:val="008E110E"/>
    <w:rsid w:val="008E174C"/>
    <w:rsid w:val="008E351A"/>
    <w:rsid w:val="008E7029"/>
    <w:rsid w:val="008E7598"/>
    <w:rsid w:val="008E77BD"/>
    <w:rsid w:val="008E7EF6"/>
    <w:rsid w:val="008F1275"/>
    <w:rsid w:val="008F188A"/>
    <w:rsid w:val="008F1F98"/>
    <w:rsid w:val="008F257E"/>
    <w:rsid w:val="008F36C9"/>
    <w:rsid w:val="008F39A9"/>
    <w:rsid w:val="008F523F"/>
    <w:rsid w:val="008F5713"/>
    <w:rsid w:val="008F6198"/>
    <w:rsid w:val="008F6367"/>
    <w:rsid w:val="008F63D3"/>
    <w:rsid w:val="008F6758"/>
    <w:rsid w:val="008F7004"/>
    <w:rsid w:val="008F72DC"/>
    <w:rsid w:val="00901617"/>
    <w:rsid w:val="009017A1"/>
    <w:rsid w:val="00901E37"/>
    <w:rsid w:val="0090230E"/>
    <w:rsid w:val="00902F6F"/>
    <w:rsid w:val="009040DD"/>
    <w:rsid w:val="00904A8E"/>
    <w:rsid w:val="00905B47"/>
    <w:rsid w:val="0090650A"/>
    <w:rsid w:val="0090671D"/>
    <w:rsid w:val="00906E5E"/>
    <w:rsid w:val="00906E8B"/>
    <w:rsid w:val="0090724B"/>
    <w:rsid w:val="009075E8"/>
    <w:rsid w:val="009111B0"/>
    <w:rsid w:val="009118D0"/>
    <w:rsid w:val="00912AC1"/>
    <w:rsid w:val="0091331C"/>
    <w:rsid w:val="00913376"/>
    <w:rsid w:val="00913569"/>
    <w:rsid w:val="00913A07"/>
    <w:rsid w:val="00913B46"/>
    <w:rsid w:val="00914CBD"/>
    <w:rsid w:val="00915219"/>
    <w:rsid w:val="00915C75"/>
    <w:rsid w:val="00916210"/>
    <w:rsid w:val="00920B2B"/>
    <w:rsid w:val="009211A7"/>
    <w:rsid w:val="00924AD7"/>
    <w:rsid w:val="009258DA"/>
    <w:rsid w:val="009261C6"/>
    <w:rsid w:val="00926B68"/>
    <w:rsid w:val="0092735A"/>
    <w:rsid w:val="00927686"/>
    <w:rsid w:val="009279DE"/>
    <w:rsid w:val="00927B5F"/>
    <w:rsid w:val="00927E40"/>
    <w:rsid w:val="00930116"/>
    <w:rsid w:val="00930BAA"/>
    <w:rsid w:val="00931FCB"/>
    <w:rsid w:val="009324E0"/>
    <w:rsid w:val="00932558"/>
    <w:rsid w:val="0093557E"/>
    <w:rsid w:val="00935C7E"/>
    <w:rsid w:val="00936901"/>
    <w:rsid w:val="009371A6"/>
    <w:rsid w:val="00940559"/>
    <w:rsid w:val="009416E8"/>
    <w:rsid w:val="009418D8"/>
    <w:rsid w:val="00941DA4"/>
    <w:rsid w:val="0094212C"/>
    <w:rsid w:val="009421B3"/>
    <w:rsid w:val="00942461"/>
    <w:rsid w:val="00942B7F"/>
    <w:rsid w:val="00943164"/>
    <w:rsid w:val="00946581"/>
    <w:rsid w:val="00947431"/>
    <w:rsid w:val="00947CDA"/>
    <w:rsid w:val="00947D50"/>
    <w:rsid w:val="00950010"/>
    <w:rsid w:val="00952720"/>
    <w:rsid w:val="009534A3"/>
    <w:rsid w:val="00954689"/>
    <w:rsid w:val="00956356"/>
    <w:rsid w:val="009614FE"/>
    <w:rsid w:val="009617C9"/>
    <w:rsid w:val="00961C93"/>
    <w:rsid w:val="00962698"/>
    <w:rsid w:val="00962F92"/>
    <w:rsid w:val="00963F51"/>
    <w:rsid w:val="0096477A"/>
    <w:rsid w:val="00965324"/>
    <w:rsid w:val="00966035"/>
    <w:rsid w:val="00966202"/>
    <w:rsid w:val="00967486"/>
    <w:rsid w:val="00970830"/>
    <w:rsid w:val="0097091E"/>
    <w:rsid w:val="00972D64"/>
    <w:rsid w:val="00973562"/>
    <w:rsid w:val="00975220"/>
    <w:rsid w:val="009760D3"/>
    <w:rsid w:val="00976417"/>
    <w:rsid w:val="00977132"/>
    <w:rsid w:val="009773F8"/>
    <w:rsid w:val="009776A9"/>
    <w:rsid w:val="00977967"/>
    <w:rsid w:val="0098153A"/>
    <w:rsid w:val="00981A4B"/>
    <w:rsid w:val="00981EC2"/>
    <w:rsid w:val="00982469"/>
    <w:rsid w:val="00982501"/>
    <w:rsid w:val="00984BCD"/>
    <w:rsid w:val="00986C43"/>
    <w:rsid w:val="009874CF"/>
    <w:rsid w:val="0098778C"/>
    <w:rsid w:val="009877D3"/>
    <w:rsid w:val="00987BDB"/>
    <w:rsid w:val="0099004A"/>
    <w:rsid w:val="00991696"/>
    <w:rsid w:val="00992FB9"/>
    <w:rsid w:val="00994144"/>
    <w:rsid w:val="00994A7D"/>
    <w:rsid w:val="00994E8F"/>
    <w:rsid w:val="00995146"/>
    <w:rsid w:val="009951DC"/>
    <w:rsid w:val="009959BB"/>
    <w:rsid w:val="00997158"/>
    <w:rsid w:val="00997723"/>
    <w:rsid w:val="00997FD7"/>
    <w:rsid w:val="009A12D5"/>
    <w:rsid w:val="009A2D47"/>
    <w:rsid w:val="009A3A7C"/>
    <w:rsid w:val="009A47F8"/>
    <w:rsid w:val="009A636D"/>
    <w:rsid w:val="009A63E6"/>
    <w:rsid w:val="009A658A"/>
    <w:rsid w:val="009A671A"/>
    <w:rsid w:val="009A7B03"/>
    <w:rsid w:val="009B072B"/>
    <w:rsid w:val="009B1327"/>
    <w:rsid w:val="009B2ADB"/>
    <w:rsid w:val="009B3957"/>
    <w:rsid w:val="009B47EF"/>
    <w:rsid w:val="009B516E"/>
    <w:rsid w:val="009B5818"/>
    <w:rsid w:val="009B603A"/>
    <w:rsid w:val="009B6053"/>
    <w:rsid w:val="009B64E7"/>
    <w:rsid w:val="009C1040"/>
    <w:rsid w:val="009C10D8"/>
    <w:rsid w:val="009C18AA"/>
    <w:rsid w:val="009C21C1"/>
    <w:rsid w:val="009C228E"/>
    <w:rsid w:val="009C27DF"/>
    <w:rsid w:val="009C2A4A"/>
    <w:rsid w:val="009C2D0E"/>
    <w:rsid w:val="009C2FE1"/>
    <w:rsid w:val="009C33B9"/>
    <w:rsid w:val="009C3BE7"/>
    <w:rsid w:val="009C3DAC"/>
    <w:rsid w:val="009C42E0"/>
    <w:rsid w:val="009C4666"/>
    <w:rsid w:val="009C74F5"/>
    <w:rsid w:val="009D0905"/>
    <w:rsid w:val="009D0B92"/>
    <w:rsid w:val="009D28B6"/>
    <w:rsid w:val="009D323B"/>
    <w:rsid w:val="009D3D0D"/>
    <w:rsid w:val="009D5362"/>
    <w:rsid w:val="009D6473"/>
    <w:rsid w:val="009D69D0"/>
    <w:rsid w:val="009D778C"/>
    <w:rsid w:val="009E023E"/>
    <w:rsid w:val="009E04BE"/>
    <w:rsid w:val="009E0A4E"/>
    <w:rsid w:val="009E1415"/>
    <w:rsid w:val="009E20BD"/>
    <w:rsid w:val="009E23B3"/>
    <w:rsid w:val="009E3DD4"/>
    <w:rsid w:val="009E46FC"/>
    <w:rsid w:val="009E4A0F"/>
    <w:rsid w:val="009E4B67"/>
    <w:rsid w:val="009E56D9"/>
    <w:rsid w:val="009E6116"/>
    <w:rsid w:val="009E6212"/>
    <w:rsid w:val="009E6B7F"/>
    <w:rsid w:val="009F053A"/>
    <w:rsid w:val="009F0D14"/>
    <w:rsid w:val="009F0FFB"/>
    <w:rsid w:val="009F16F4"/>
    <w:rsid w:val="009F63CC"/>
    <w:rsid w:val="009F67A9"/>
    <w:rsid w:val="009F70AE"/>
    <w:rsid w:val="00A00726"/>
    <w:rsid w:val="00A01DA9"/>
    <w:rsid w:val="00A02257"/>
    <w:rsid w:val="00A02DC8"/>
    <w:rsid w:val="00A02E43"/>
    <w:rsid w:val="00A030C0"/>
    <w:rsid w:val="00A032B6"/>
    <w:rsid w:val="00A03FAA"/>
    <w:rsid w:val="00A065F9"/>
    <w:rsid w:val="00A06EF4"/>
    <w:rsid w:val="00A07F34"/>
    <w:rsid w:val="00A10F0E"/>
    <w:rsid w:val="00A1258A"/>
    <w:rsid w:val="00A133E7"/>
    <w:rsid w:val="00A15928"/>
    <w:rsid w:val="00A15C98"/>
    <w:rsid w:val="00A16F6C"/>
    <w:rsid w:val="00A179D5"/>
    <w:rsid w:val="00A2158B"/>
    <w:rsid w:val="00A22154"/>
    <w:rsid w:val="00A22DCA"/>
    <w:rsid w:val="00A24DBC"/>
    <w:rsid w:val="00A25755"/>
    <w:rsid w:val="00A25C38"/>
    <w:rsid w:val="00A32358"/>
    <w:rsid w:val="00A34CC1"/>
    <w:rsid w:val="00A34FD3"/>
    <w:rsid w:val="00A36472"/>
    <w:rsid w:val="00A3688F"/>
    <w:rsid w:val="00A36BBE"/>
    <w:rsid w:val="00A36E98"/>
    <w:rsid w:val="00A37F96"/>
    <w:rsid w:val="00A40A7C"/>
    <w:rsid w:val="00A40AF2"/>
    <w:rsid w:val="00A41BE6"/>
    <w:rsid w:val="00A41C96"/>
    <w:rsid w:val="00A4307A"/>
    <w:rsid w:val="00A449A1"/>
    <w:rsid w:val="00A44E5C"/>
    <w:rsid w:val="00A450C7"/>
    <w:rsid w:val="00A45A80"/>
    <w:rsid w:val="00A468F5"/>
    <w:rsid w:val="00A47EBB"/>
    <w:rsid w:val="00A51CDD"/>
    <w:rsid w:val="00A51F8A"/>
    <w:rsid w:val="00A55E53"/>
    <w:rsid w:val="00A55E72"/>
    <w:rsid w:val="00A5703D"/>
    <w:rsid w:val="00A5736D"/>
    <w:rsid w:val="00A5793B"/>
    <w:rsid w:val="00A60B1E"/>
    <w:rsid w:val="00A61608"/>
    <w:rsid w:val="00A61EAC"/>
    <w:rsid w:val="00A621C1"/>
    <w:rsid w:val="00A6222A"/>
    <w:rsid w:val="00A66330"/>
    <w:rsid w:val="00A668EF"/>
    <w:rsid w:val="00A66976"/>
    <w:rsid w:val="00A6697E"/>
    <w:rsid w:val="00A66CA7"/>
    <w:rsid w:val="00A6730D"/>
    <w:rsid w:val="00A71625"/>
    <w:rsid w:val="00A71A3C"/>
    <w:rsid w:val="00A71B7F"/>
    <w:rsid w:val="00A71B9B"/>
    <w:rsid w:val="00A73262"/>
    <w:rsid w:val="00A73613"/>
    <w:rsid w:val="00A73CD0"/>
    <w:rsid w:val="00A7474E"/>
    <w:rsid w:val="00A74F05"/>
    <w:rsid w:val="00A751C7"/>
    <w:rsid w:val="00A75449"/>
    <w:rsid w:val="00A75974"/>
    <w:rsid w:val="00A75B16"/>
    <w:rsid w:val="00A77EA0"/>
    <w:rsid w:val="00A8045E"/>
    <w:rsid w:val="00A80668"/>
    <w:rsid w:val="00A80CF2"/>
    <w:rsid w:val="00A81877"/>
    <w:rsid w:val="00A85E51"/>
    <w:rsid w:val="00A866C4"/>
    <w:rsid w:val="00A86D68"/>
    <w:rsid w:val="00A87844"/>
    <w:rsid w:val="00A91800"/>
    <w:rsid w:val="00A91950"/>
    <w:rsid w:val="00A9228B"/>
    <w:rsid w:val="00A9249D"/>
    <w:rsid w:val="00A93667"/>
    <w:rsid w:val="00A95473"/>
    <w:rsid w:val="00A95D3A"/>
    <w:rsid w:val="00A96CD1"/>
    <w:rsid w:val="00A96E2A"/>
    <w:rsid w:val="00AA038C"/>
    <w:rsid w:val="00AA0A35"/>
    <w:rsid w:val="00AA1CE2"/>
    <w:rsid w:val="00AA54FE"/>
    <w:rsid w:val="00AA7A09"/>
    <w:rsid w:val="00AB03F5"/>
    <w:rsid w:val="00AB3689"/>
    <w:rsid w:val="00AB3B50"/>
    <w:rsid w:val="00AB6415"/>
    <w:rsid w:val="00AB65F8"/>
    <w:rsid w:val="00AB68C6"/>
    <w:rsid w:val="00AB6E34"/>
    <w:rsid w:val="00AC05B1"/>
    <w:rsid w:val="00AC122D"/>
    <w:rsid w:val="00AC1D02"/>
    <w:rsid w:val="00AC1FC9"/>
    <w:rsid w:val="00AC276B"/>
    <w:rsid w:val="00AC334B"/>
    <w:rsid w:val="00AC3802"/>
    <w:rsid w:val="00AC4701"/>
    <w:rsid w:val="00AC5129"/>
    <w:rsid w:val="00AC595C"/>
    <w:rsid w:val="00AC5969"/>
    <w:rsid w:val="00AC59CE"/>
    <w:rsid w:val="00AD03D3"/>
    <w:rsid w:val="00AD1421"/>
    <w:rsid w:val="00AD1B28"/>
    <w:rsid w:val="00AD1DEF"/>
    <w:rsid w:val="00AD356C"/>
    <w:rsid w:val="00AD48F5"/>
    <w:rsid w:val="00AD50F8"/>
    <w:rsid w:val="00AD6EA4"/>
    <w:rsid w:val="00AD7D28"/>
    <w:rsid w:val="00AD7E75"/>
    <w:rsid w:val="00AE018E"/>
    <w:rsid w:val="00AE2914"/>
    <w:rsid w:val="00AE2CC2"/>
    <w:rsid w:val="00AE4B56"/>
    <w:rsid w:val="00AE524E"/>
    <w:rsid w:val="00AE6D15"/>
    <w:rsid w:val="00AE73F2"/>
    <w:rsid w:val="00AF0366"/>
    <w:rsid w:val="00AF1635"/>
    <w:rsid w:val="00AF190D"/>
    <w:rsid w:val="00AF2AE0"/>
    <w:rsid w:val="00AF5425"/>
    <w:rsid w:val="00AF60AC"/>
    <w:rsid w:val="00AF7671"/>
    <w:rsid w:val="00AF798D"/>
    <w:rsid w:val="00AF7C2A"/>
    <w:rsid w:val="00AF7CBB"/>
    <w:rsid w:val="00B00E55"/>
    <w:rsid w:val="00B00E72"/>
    <w:rsid w:val="00B02B74"/>
    <w:rsid w:val="00B03C4F"/>
    <w:rsid w:val="00B04182"/>
    <w:rsid w:val="00B04CEB"/>
    <w:rsid w:val="00B06CB6"/>
    <w:rsid w:val="00B07AE3"/>
    <w:rsid w:val="00B07E34"/>
    <w:rsid w:val="00B10149"/>
    <w:rsid w:val="00B10CE6"/>
    <w:rsid w:val="00B11234"/>
    <w:rsid w:val="00B11430"/>
    <w:rsid w:val="00B11E21"/>
    <w:rsid w:val="00B12EC8"/>
    <w:rsid w:val="00B134F0"/>
    <w:rsid w:val="00B138B2"/>
    <w:rsid w:val="00B14100"/>
    <w:rsid w:val="00B14A2B"/>
    <w:rsid w:val="00B15370"/>
    <w:rsid w:val="00B15B43"/>
    <w:rsid w:val="00B16D4D"/>
    <w:rsid w:val="00B16F46"/>
    <w:rsid w:val="00B1706D"/>
    <w:rsid w:val="00B17309"/>
    <w:rsid w:val="00B17B7E"/>
    <w:rsid w:val="00B23350"/>
    <w:rsid w:val="00B23F3D"/>
    <w:rsid w:val="00B25A33"/>
    <w:rsid w:val="00B25A73"/>
    <w:rsid w:val="00B2696D"/>
    <w:rsid w:val="00B26D49"/>
    <w:rsid w:val="00B31863"/>
    <w:rsid w:val="00B32B8C"/>
    <w:rsid w:val="00B33886"/>
    <w:rsid w:val="00B33BF4"/>
    <w:rsid w:val="00B34636"/>
    <w:rsid w:val="00B35296"/>
    <w:rsid w:val="00B353EB"/>
    <w:rsid w:val="00B36697"/>
    <w:rsid w:val="00B36824"/>
    <w:rsid w:val="00B37038"/>
    <w:rsid w:val="00B42A39"/>
    <w:rsid w:val="00B42F6C"/>
    <w:rsid w:val="00B4399F"/>
    <w:rsid w:val="00B439C4"/>
    <w:rsid w:val="00B4401F"/>
    <w:rsid w:val="00B441CA"/>
    <w:rsid w:val="00B44CC5"/>
    <w:rsid w:val="00B4535E"/>
    <w:rsid w:val="00B45C63"/>
    <w:rsid w:val="00B46437"/>
    <w:rsid w:val="00B467C1"/>
    <w:rsid w:val="00B511AF"/>
    <w:rsid w:val="00B51BC0"/>
    <w:rsid w:val="00B52A8C"/>
    <w:rsid w:val="00B556DF"/>
    <w:rsid w:val="00B56F4E"/>
    <w:rsid w:val="00B57926"/>
    <w:rsid w:val="00B61141"/>
    <w:rsid w:val="00B636A8"/>
    <w:rsid w:val="00B6391D"/>
    <w:rsid w:val="00B64204"/>
    <w:rsid w:val="00B64521"/>
    <w:rsid w:val="00B65266"/>
    <w:rsid w:val="00B665C6"/>
    <w:rsid w:val="00B6756B"/>
    <w:rsid w:val="00B67CC6"/>
    <w:rsid w:val="00B70A89"/>
    <w:rsid w:val="00B70F81"/>
    <w:rsid w:val="00B7557E"/>
    <w:rsid w:val="00B75BD5"/>
    <w:rsid w:val="00B76C14"/>
    <w:rsid w:val="00B805AF"/>
    <w:rsid w:val="00B80748"/>
    <w:rsid w:val="00B8240E"/>
    <w:rsid w:val="00B83116"/>
    <w:rsid w:val="00B84B31"/>
    <w:rsid w:val="00B85D76"/>
    <w:rsid w:val="00B869EC"/>
    <w:rsid w:val="00B86BB8"/>
    <w:rsid w:val="00B907DE"/>
    <w:rsid w:val="00B911DE"/>
    <w:rsid w:val="00B91B5D"/>
    <w:rsid w:val="00B92A87"/>
    <w:rsid w:val="00B9397A"/>
    <w:rsid w:val="00B94692"/>
    <w:rsid w:val="00B94B04"/>
    <w:rsid w:val="00B9633D"/>
    <w:rsid w:val="00B97D3C"/>
    <w:rsid w:val="00BA210A"/>
    <w:rsid w:val="00BA2764"/>
    <w:rsid w:val="00BA2EBE"/>
    <w:rsid w:val="00BA308E"/>
    <w:rsid w:val="00BA3C9A"/>
    <w:rsid w:val="00BA42CE"/>
    <w:rsid w:val="00BA4D61"/>
    <w:rsid w:val="00BA64D7"/>
    <w:rsid w:val="00BA7098"/>
    <w:rsid w:val="00BA70F5"/>
    <w:rsid w:val="00BA7C54"/>
    <w:rsid w:val="00BB078C"/>
    <w:rsid w:val="00BB0F28"/>
    <w:rsid w:val="00BB458A"/>
    <w:rsid w:val="00BB4721"/>
    <w:rsid w:val="00BB5AFE"/>
    <w:rsid w:val="00BB6AEA"/>
    <w:rsid w:val="00BC061F"/>
    <w:rsid w:val="00BC0FE6"/>
    <w:rsid w:val="00BC2B5E"/>
    <w:rsid w:val="00BC35FC"/>
    <w:rsid w:val="00BC3CCF"/>
    <w:rsid w:val="00BC3FDF"/>
    <w:rsid w:val="00BC4111"/>
    <w:rsid w:val="00BC4BA0"/>
    <w:rsid w:val="00BC4FC6"/>
    <w:rsid w:val="00BC543E"/>
    <w:rsid w:val="00BC6A39"/>
    <w:rsid w:val="00BD00D3"/>
    <w:rsid w:val="00BD0EC2"/>
    <w:rsid w:val="00BD1268"/>
    <w:rsid w:val="00BD1659"/>
    <w:rsid w:val="00BD1B63"/>
    <w:rsid w:val="00BD3221"/>
    <w:rsid w:val="00BD3759"/>
    <w:rsid w:val="00BD3AA9"/>
    <w:rsid w:val="00BD4A18"/>
    <w:rsid w:val="00BD5308"/>
    <w:rsid w:val="00BD6DB2"/>
    <w:rsid w:val="00BE1139"/>
    <w:rsid w:val="00BE11CF"/>
    <w:rsid w:val="00BE21AB"/>
    <w:rsid w:val="00BE24A6"/>
    <w:rsid w:val="00BE33DE"/>
    <w:rsid w:val="00BE3E1F"/>
    <w:rsid w:val="00BE55CB"/>
    <w:rsid w:val="00BE6C14"/>
    <w:rsid w:val="00BE6C8D"/>
    <w:rsid w:val="00BE780F"/>
    <w:rsid w:val="00BF0986"/>
    <w:rsid w:val="00BF0AC9"/>
    <w:rsid w:val="00BF26C1"/>
    <w:rsid w:val="00BF3388"/>
    <w:rsid w:val="00BF42F8"/>
    <w:rsid w:val="00BF5FE9"/>
    <w:rsid w:val="00BF617A"/>
    <w:rsid w:val="00BF6D21"/>
    <w:rsid w:val="00BF7A3B"/>
    <w:rsid w:val="00BF7AC6"/>
    <w:rsid w:val="00C00102"/>
    <w:rsid w:val="00C0379D"/>
    <w:rsid w:val="00C03931"/>
    <w:rsid w:val="00C03C6D"/>
    <w:rsid w:val="00C0435D"/>
    <w:rsid w:val="00C054E9"/>
    <w:rsid w:val="00C05FE3"/>
    <w:rsid w:val="00C07A55"/>
    <w:rsid w:val="00C07CC0"/>
    <w:rsid w:val="00C11926"/>
    <w:rsid w:val="00C11DA0"/>
    <w:rsid w:val="00C127A9"/>
    <w:rsid w:val="00C12960"/>
    <w:rsid w:val="00C14303"/>
    <w:rsid w:val="00C1616B"/>
    <w:rsid w:val="00C16F8A"/>
    <w:rsid w:val="00C1758E"/>
    <w:rsid w:val="00C2136D"/>
    <w:rsid w:val="00C213C4"/>
    <w:rsid w:val="00C21450"/>
    <w:rsid w:val="00C214EE"/>
    <w:rsid w:val="00C21A35"/>
    <w:rsid w:val="00C21A60"/>
    <w:rsid w:val="00C21C97"/>
    <w:rsid w:val="00C222DC"/>
    <w:rsid w:val="00C22562"/>
    <w:rsid w:val="00C2262B"/>
    <w:rsid w:val="00C22DAB"/>
    <w:rsid w:val="00C22E4C"/>
    <w:rsid w:val="00C2314B"/>
    <w:rsid w:val="00C23D5C"/>
    <w:rsid w:val="00C24971"/>
    <w:rsid w:val="00C24AA7"/>
    <w:rsid w:val="00C24BFA"/>
    <w:rsid w:val="00C25331"/>
    <w:rsid w:val="00C25395"/>
    <w:rsid w:val="00C258AB"/>
    <w:rsid w:val="00C26BE5"/>
    <w:rsid w:val="00C26E4D"/>
    <w:rsid w:val="00C27909"/>
    <w:rsid w:val="00C27B03"/>
    <w:rsid w:val="00C31004"/>
    <w:rsid w:val="00C314E1"/>
    <w:rsid w:val="00C32653"/>
    <w:rsid w:val="00C32B28"/>
    <w:rsid w:val="00C32EBC"/>
    <w:rsid w:val="00C330C1"/>
    <w:rsid w:val="00C33358"/>
    <w:rsid w:val="00C33DB4"/>
    <w:rsid w:val="00C34397"/>
    <w:rsid w:val="00C34F64"/>
    <w:rsid w:val="00C356EF"/>
    <w:rsid w:val="00C35C8C"/>
    <w:rsid w:val="00C37435"/>
    <w:rsid w:val="00C37DBC"/>
    <w:rsid w:val="00C40751"/>
    <w:rsid w:val="00C40841"/>
    <w:rsid w:val="00C4095D"/>
    <w:rsid w:val="00C414EF"/>
    <w:rsid w:val="00C43BD4"/>
    <w:rsid w:val="00C46299"/>
    <w:rsid w:val="00C5103E"/>
    <w:rsid w:val="00C52A14"/>
    <w:rsid w:val="00C54052"/>
    <w:rsid w:val="00C550DA"/>
    <w:rsid w:val="00C572CA"/>
    <w:rsid w:val="00C5762C"/>
    <w:rsid w:val="00C57C35"/>
    <w:rsid w:val="00C601D2"/>
    <w:rsid w:val="00C60D3D"/>
    <w:rsid w:val="00C60D8A"/>
    <w:rsid w:val="00C63960"/>
    <w:rsid w:val="00C6422A"/>
    <w:rsid w:val="00C650D4"/>
    <w:rsid w:val="00C65BCC"/>
    <w:rsid w:val="00C66592"/>
    <w:rsid w:val="00C66970"/>
    <w:rsid w:val="00C70895"/>
    <w:rsid w:val="00C7151A"/>
    <w:rsid w:val="00C7390F"/>
    <w:rsid w:val="00C74A01"/>
    <w:rsid w:val="00C7653D"/>
    <w:rsid w:val="00C76E4D"/>
    <w:rsid w:val="00C77B4B"/>
    <w:rsid w:val="00C80E19"/>
    <w:rsid w:val="00C81D37"/>
    <w:rsid w:val="00C82836"/>
    <w:rsid w:val="00C8378E"/>
    <w:rsid w:val="00C854B6"/>
    <w:rsid w:val="00C8551B"/>
    <w:rsid w:val="00C85EEA"/>
    <w:rsid w:val="00C86023"/>
    <w:rsid w:val="00C86654"/>
    <w:rsid w:val="00C8681F"/>
    <w:rsid w:val="00C8691C"/>
    <w:rsid w:val="00C86EF2"/>
    <w:rsid w:val="00C876B6"/>
    <w:rsid w:val="00C87BB2"/>
    <w:rsid w:val="00C9103F"/>
    <w:rsid w:val="00C92528"/>
    <w:rsid w:val="00C92B66"/>
    <w:rsid w:val="00C92C44"/>
    <w:rsid w:val="00C938EA"/>
    <w:rsid w:val="00C9453E"/>
    <w:rsid w:val="00C94BBD"/>
    <w:rsid w:val="00C9562F"/>
    <w:rsid w:val="00C961CE"/>
    <w:rsid w:val="00C9703C"/>
    <w:rsid w:val="00C97E9F"/>
    <w:rsid w:val="00CA0069"/>
    <w:rsid w:val="00CA0C4B"/>
    <w:rsid w:val="00CA1237"/>
    <w:rsid w:val="00CA136D"/>
    <w:rsid w:val="00CA168A"/>
    <w:rsid w:val="00CA1BA8"/>
    <w:rsid w:val="00CA21B6"/>
    <w:rsid w:val="00CA254F"/>
    <w:rsid w:val="00CA3436"/>
    <w:rsid w:val="00CA357E"/>
    <w:rsid w:val="00CA44F9"/>
    <w:rsid w:val="00CA4560"/>
    <w:rsid w:val="00CA4A69"/>
    <w:rsid w:val="00CA5B69"/>
    <w:rsid w:val="00CA682E"/>
    <w:rsid w:val="00CB16D0"/>
    <w:rsid w:val="00CB273D"/>
    <w:rsid w:val="00CB37C9"/>
    <w:rsid w:val="00CB4C6C"/>
    <w:rsid w:val="00CB6AE9"/>
    <w:rsid w:val="00CB6E96"/>
    <w:rsid w:val="00CB7F85"/>
    <w:rsid w:val="00CC1978"/>
    <w:rsid w:val="00CC1C30"/>
    <w:rsid w:val="00CC2AAF"/>
    <w:rsid w:val="00CC2DCE"/>
    <w:rsid w:val="00CC34C5"/>
    <w:rsid w:val="00CC3E0C"/>
    <w:rsid w:val="00CC58D3"/>
    <w:rsid w:val="00CC596F"/>
    <w:rsid w:val="00CC784D"/>
    <w:rsid w:val="00CD0CB3"/>
    <w:rsid w:val="00CD0DBF"/>
    <w:rsid w:val="00CD164B"/>
    <w:rsid w:val="00CD19C4"/>
    <w:rsid w:val="00CD34B0"/>
    <w:rsid w:val="00CD4652"/>
    <w:rsid w:val="00CD4B99"/>
    <w:rsid w:val="00CD5980"/>
    <w:rsid w:val="00CE12AF"/>
    <w:rsid w:val="00CE2943"/>
    <w:rsid w:val="00CE48BF"/>
    <w:rsid w:val="00CE48D0"/>
    <w:rsid w:val="00CE529A"/>
    <w:rsid w:val="00CF2872"/>
    <w:rsid w:val="00CF2BDF"/>
    <w:rsid w:val="00CF2DEE"/>
    <w:rsid w:val="00CF334D"/>
    <w:rsid w:val="00CF4362"/>
    <w:rsid w:val="00CF4C62"/>
    <w:rsid w:val="00CF4F4B"/>
    <w:rsid w:val="00CF561F"/>
    <w:rsid w:val="00CF72BA"/>
    <w:rsid w:val="00D002A9"/>
    <w:rsid w:val="00D02097"/>
    <w:rsid w:val="00D0275D"/>
    <w:rsid w:val="00D02BFB"/>
    <w:rsid w:val="00D0337B"/>
    <w:rsid w:val="00D06FBA"/>
    <w:rsid w:val="00D076C0"/>
    <w:rsid w:val="00D079B2"/>
    <w:rsid w:val="00D07C67"/>
    <w:rsid w:val="00D10154"/>
    <w:rsid w:val="00D105CA"/>
    <w:rsid w:val="00D109B1"/>
    <w:rsid w:val="00D114E9"/>
    <w:rsid w:val="00D11BBE"/>
    <w:rsid w:val="00D12138"/>
    <w:rsid w:val="00D12622"/>
    <w:rsid w:val="00D1306D"/>
    <w:rsid w:val="00D13AB8"/>
    <w:rsid w:val="00D14500"/>
    <w:rsid w:val="00D17E25"/>
    <w:rsid w:val="00D21326"/>
    <w:rsid w:val="00D22163"/>
    <w:rsid w:val="00D24DB7"/>
    <w:rsid w:val="00D25BF5"/>
    <w:rsid w:val="00D26906"/>
    <w:rsid w:val="00D26FC9"/>
    <w:rsid w:val="00D30661"/>
    <w:rsid w:val="00D31968"/>
    <w:rsid w:val="00D31A17"/>
    <w:rsid w:val="00D332EC"/>
    <w:rsid w:val="00D35122"/>
    <w:rsid w:val="00D35329"/>
    <w:rsid w:val="00D3654A"/>
    <w:rsid w:val="00D42534"/>
    <w:rsid w:val="00D429C6"/>
    <w:rsid w:val="00D4577C"/>
    <w:rsid w:val="00D458EE"/>
    <w:rsid w:val="00D45CA8"/>
    <w:rsid w:val="00D462A8"/>
    <w:rsid w:val="00D46638"/>
    <w:rsid w:val="00D47748"/>
    <w:rsid w:val="00D47DAB"/>
    <w:rsid w:val="00D522F5"/>
    <w:rsid w:val="00D53F06"/>
    <w:rsid w:val="00D5422A"/>
    <w:rsid w:val="00D54CC3"/>
    <w:rsid w:val="00D55C59"/>
    <w:rsid w:val="00D56F58"/>
    <w:rsid w:val="00D6002C"/>
    <w:rsid w:val="00D6041A"/>
    <w:rsid w:val="00D60E30"/>
    <w:rsid w:val="00D62749"/>
    <w:rsid w:val="00D633EB"/>
    <w:rsid w:val="00D637AF"/>
    <w:rsid w:val="00D63A3A"/>
    <w:rsid w:val="00D65756"/>
    <w:rsid w:val="00D6586E"/>
    <w:rsid w:val="00D66D0C"/>
    <w:rsid w:val="00D66D9D"/>
    <w:rsid w:val="00D67B30"/>
    <w:rsid w:val="00D7025F"/>
    <w:rsid w:val="00D71A77"/>
    <w:rsid w:val="00D71F93"/>
    <w:rsid w:val="00D804EB"/>
    <w:rsid w:val="00D82FF7"/>
    <w:rsid w:val="00D8435D"/>
    <w:rsid w:val="00D847FE"/>
    <w:rsid w:val="00D850AD"/>
    <w:rsid w:val="00D85B24"/>
    <w:rsid w:val="00D85FA8"/>
    <w:rsid w:val="00D86E50"/>
    <w:rsid w:val="00D903F2"/>
    <w:rsid w:val="00D91A27"/>
    <w:rsid w:val="00D91FE4"/>
    <w:rsid w:val="00D934AA"/>
    <w:rsid w:val="00D9399F"/>
    <w:rsid w:val="00D93C89"/>
    <w:rsid w:val="00D94962"/>
    <w:rsid w:val="00D95B76"/>
    <w:rsid w:val="00D95F88"/>
    <w:rsid w:val="00D964EA"/>
    <w:rsid w:val="00D9660E"/>
    <w:rsid w:val="00D966D0"/>
    <w:rsid w:val="00D9705C"/>
    <w:rsid w:val="00D970F7"/>
    <w:rsid w:val="00DA0C59"/>
    <w:rsid w:val="00DA3984"/>
    <w:rsid w:val="00DA3991"/>
    <w:rsid w:val="00DA5DAB"/>
    <w:rsid w:val="00DA611C"/>
    <w:rsid w:val="00DA6CD1"/>
    <w:rsid w:val="00DA7118"/>
    <w:rsid w:val="00DA744F"/>
    <w:rsid w:val="00DA76AF"/>
    <w:rsid w:val="00DA79FE"/>
    <w:rsid w:val="00DB04CD"/>
    <w:rsid w:val="00DB1FBC"/>
    <w:rsid w:val="00DB309F"/>
    <w:rsid w:val="00DB5B84"/>
    <w:rsid w:val="00DB61B0"/>
    <w:rsid w:val="00DB7BF7"/>
    <w:rsid w:val="00DB7E6C"/>
    <w:rsid w:val="00DC004C"/>
    <w:rsid w:val="00DC00C3"/>
    <w:rsid w:val="00DC23B1"/>
    <w:rsid w:val="00DC34F1"/>
    <w:rsid w:val="00DC4BA2"/>
    <w:rsid w:val="00DC5647"/>
    <w:rsid w:val="00DC5DED"/>
    <w:rsid w:val="00DC72F0"/>
    <w:rsid w:val="00DD2B5A"/>
    <w:rsid w:val="00DD30F6"/>
    <w:rsid w:val="00DD3576"/>
    <w:rsid w:val="00DD3DDF"/>
    <w:rsid w:val="00DD5A29"/>
    <w:rsid w:val="00DD5D9D"/>
    <w:rsid w:val="00DD750A"/>
    <w:rsid w:val="00DE0F8E"/>
    <w:rsid w:val="00DE1BB4"/>
    <w:rsid w:val="00DE35CB"/>
    <w:rsid w:val="00DE3C21"/>
    <w:rsid w:val="00DE422A"/>
    <w:rsid w:val="00DE52D3"/>
    <w:rsid w:val="00DE54DF"/>
    <w:rsid w:val="00DE563B"/>
    <w:rsid w:val="00DE631C"/>
    <w:rsid w:val="00DE6813"/>
    <w:rsid w:val="00DF21E9"/>
    <w:rsid w:val="00DF3170"/>
    <w:rsid w:val="00DF33D9"/>
    <w:rsid w:val="00DF5C57"/>
    <w:rsid w:val="00DF73C2"/>
    <w:rsid w:val="00E00F14"/>
    <w:rsid w:val="00E02B99"/>
    <w:rsid w:val="00E04648"/>
    <w:rsid w:val="00E06386"/>
    <w:rsid w:val="00E067E1"/>
    <w:rsid w:val="00E07636"/>
    <w:rsid w:val="00E07D84"/>
    <w:rsid w:val="00E1247D"/>
    <w:rsid w:val="00E13637"/>
    <w:rsid w:val="00E13D7D"/>
    <w:rsid w:val="00E15DDA"/>
    <w:rsid w:val="00E161B8"/>
    <w:rsid w:val="00E17AAD"/>
    <w:rsid w:val="00E22674"/>
    <w:rsid w:val="00E226BC"/>
    <w:rsid w:val="00E22E60"/>
    <w:rsid w:val="00E2381E"/>
    <w:rsid w:val="00E23BFB"/>
    <w:rsid w:val="00E24381"/>
    <w:rsid w:val="00E24EB4"/>
    <w:rsid w:val="00E2543F"/>
    <w:rsid w:val="00E265F8"/>
    <w:rsid w:val="00E26601"/>
    <w:rsid w:val="00E26B9F"/>
    <w:rsid w:val="00E27AB5"/>
    <w:rsid w:val="00E320ED"/>
    <w:rsid w:val="00E32AAE"/>
    <w:rsid w:val="00E332DA"/>
    <w:rsid w:val="00E33AFB"/>
    <w:rsid w:val="00E34218"/>
    <w:rsid w:val="00E40DE3"/>
    <w:rsid w:val="00E40FB7"/>
    <w:rsid w:val="00E415C8"/>
    <w:rsid w:val="00E41B7E"/>
    <w:rsid w:val="00E4281F"/>
    <w:rsid w:val="00E43697"/>
    <w:rsid w:val="00E43A70"/>
    <w:rsid w:val="00E446F0"/>
    <w:rsid w:val="00E46282"/>
    <w:rsid w:val="00E479CC"/>
    <w:rsid w:val="00E520EF"/>
    <w:rsid w:val="00E5216E"/>
    <w:rsid w:val="00E52778"/>
    <w:rsid w:val="00E52952"/>
    <w:rsid w:val="00E52DD7"/>
    <w:rsid w:val="00E5495D"/>
    <w:rsid w:val="00E5557C"/>
    <w:rsid w:val="00E5615B"/>
    <w:rsid w:val="00E56538"/>
    <w:rsid w:val="00E56A8D"/>
    <w:rsid w:val="00E57227"/>
    <w:rsid w:val="00E5745F"/>
    <w:rsid w:val="00E57DB4"/>
    <w:rsid w:val="00E6056F"/>
    <w:rsid w:val="00E60F50"/>
    <w:rsid w:val="00E62412"/>
    <w:rsid w:val="00E624DE"/>
    <w:rsid w:val="00E63321"/>
    <w:rsid w:val="00E651EA"/>
    <w:rsid w:val="00E65C29"/>
    <w:rsid w:val="00E65F26"/>
    <w:rsid w:val="00E65FAD"/>
    <w:rsid w:val="00E66510"/>
    <w:rsid w:val="00E6718B"/>
    <w:rsid w:val="00E74C86"/>
    <w:rsid w:val="00E75E8F"/>
    <w:rsid w:val="00E77C5D"/>
    <w:rsid w:val="00E813CB"/>
    <w:rsid w:val="00E82344"/>
    <w:rsid w:val="00E826C2"/>
    <w:rsid w:val="00E82AFB"/>
    <w:rsid w:val="00E8339F"/>
    <w:rsid w:val="00E834D2"/>
    <w:rsid w:val="00E83558"/>
    <w:rsid w:val="00E83993"/>
    <w:rsid w:val="00E84C82"/>
    <w:rsid w:val="00E84D64"/>
    <w:rsid w:val="00E85273"/>
    <w:rsid w:val="00E8563D"/>
    <w:rsid w:val="00E869DF"/>
    <w:rsid w:val="00E872DD"/>
    <w:rsid w:val="00E87408"/>
    <w:rsid w:val="00E914C4"/>
    <w:rsid w:val="00E91E84"/>
    <w:rsid w:val="00E934F5"/>
    <w:rsid w:val="00E93A98"/>
    <w:rsid w:val="00E93C82"/>
    <w:rsid w:val="00E93DDF"/>
    <w:rsid w:val="00E93E84"/>
    <w:rsid w:val="00E9497E"/>
    <w:rsid w:val="00E95035"/>
    <w:rsid w:val="00E96697"/>
    <w:rsid w:val="00E96961"/>
    <w:rsid w:val="00E96B54"/>
    <w:rsid w:val="00EA27DB"/>
    <w:rsid w:val="00EA2B57"/>
    <w:rsid w:val="00EA3773"/>
    <w:rsid w:val="00EA43F7"/>
    <w:rsid w:val="00EA44E3"/>
    <w:rsid w:val="00EA529A"/>
    <w:rsid w:val="00EA67AC"/>
    <w:rsid w:val="00EA69E4"/>
    <w:rsid w:val="00EA72EC"/>
    <w:rsid w:val="00EB11CB"/>
    <w:rsid w:val="00EB2110"/>
    <w:rsid w:val="00EB23FC"/>
    <w:rsid w:val="00EB2625"/>
    <w:rsid w:val="00EB275A"/>
    <w:rsid w:val="00EB2BBA"/>
    <w:rsid w:val="00EB32D8"/>
    <w:rsid w:val="00EB3D16"/>
    <w:rsid w:val="00EB424C"/>
    <w:rsid w:val="00EB5490"/>
    <w:rsid w:val="00EB55AA"/>
    <w:rsid w:val="00EB6496"/>
    <w:rsid w:val="00EB67A7"/>
    <w:rsid w:val="00EB786A"/>
    <w:rsid w:val="00EC1578"/>
    <w:rsid w:val="00EC1C72"/>
    <w:rsid w:val="00EC2C4D"/>
    <w:rsid w:val="00EC2C5B"/>
    <w:rsid w:val="00EC2DEE"/>
    <w:rsid w:val="00EC3CC9"/>
    <w:rsid w:val="00EC3DF6"/>
    <w:rsid w:val="00EC43EA"/>
    <w:rsid w:val="00EC477D"/>
    <w:rsid w:val="00EC4C53"/>
    <w:rsid w:val="00EC57EF"/>
    <w:rsid w:val="00EC60D9"/>
    <w:rsid w:val="00EC680A"/>
    <w:rsid w:val="00EC6B90"/>
    <w:rsid w:val="00EC6ED2"/>
    <w:rsid w:val="00EC74F1"/>
    <w:rsid w:val="00ED09DC"/>
    <w:rsid w:val="00ED24AD"/>
    <w:rsid w:val="00ED2B05"/>
    <w:rsid w:val="00ED2B92"/>
    <w:rsid w:val="00ED4230"/>
    <w:rsid w:val="00ED5857"/>
    <w:rsid w:val="00ED6B53"/>
    <w:rsid w:val="00ED7759"/>
    <w:rsid w:val="00EE01DA"/>
    <w:rsid w:val="00EE0900"/>
    <w:rsid w:val="00EE2BED"/>
    <w:rsid w:val="00EE374B"/>
    <w:rsid w:val="00EE3EE7"/>
    <w:rsid w:val="00EE4089"/>
    <w:rsid w:val="00EE4D15"/>
    <w:rsid w:val="00EE7282"/>
    <w:rsid w:val="00EE7CC7"/>
    <w:rsid w:val="00EF03FD"/>
    <w:rsid w:val="00EF0EF0"/>
    <w:rsid w:val="00EF1345"/>
    <w:rsid w:val="00EF2897"/>
    <w:rsid w:val="00EF4093"/>
    <w:rsid w:val="00EF4C29"/>
    <w:rsid w:val="00EF59DC"/>
    <w:rsid w:val="00EF65C1"/>
    <w:rsid w:val="00EF6995"/>
    <w:rsid w:val="00EF7937"/>
    <w:rsid w:val="00F004A2"/>
    <w:rsid w:val="00F00587"/>
    <w:rsid w:val="00F008EE"/>
    <w:rsid w:val="00F00E72"/>
    <w:rsid w:val="00F00F22"/>
    <w:rsid w:val="00F013CF"/>
    <w:rsid w:val="00F01519"/>
    <w:rsid w:val="00F01F29"/>
    <w:rsid w:val="00F02479"/>
    <w:rsid w:val="00F05C08"/>
    <w:rsid w:val="00F0647E"/>
    <w:rsid w:val="00F0693E"/>
    <w:rsid w:val="00F075E3"/>
    <w:rsid w:val="00F10343"/>
    <w:rsid w:val="00F1051E"/>
    <w:rsid w:val="00F10C64"/>
    <w:rsid w:val="00F11BB5"/>
    <w:rsid w:val="00F12730"/>
    <w:rsid w:val="00F13394"/>
    <w:rsid w:val="00F1417B"/>
    <w:rsid w:val="00F1586E"/>
    <w:rsid w:val="00F1625B"/>
    <w:rsid w:val="00F2081F"/>
    <w:rsid w:val="00F228BE"/>
    <w:rsid w:val="00F22C49"/>
    <w:rsid w:val="00F3119F"/>
    <w:rsid w:val="00F33F8E"/>
    <w:rsid w:val="00F34B99"/>
    <w:rsid w:val="00F34CA4"/>
    <w:rsid w:val="00F34D65"/>
    <w:rsid w:val="00F36E0C"/>
    <w:rsid w:val="00F419F6"/>
    <w:rsid w:val="00F44315"/>
    <w:rsid w:val="00F46268"/>
    <w:rsid w:val="00F4664B"/>
    <w:rsid w:val="00F47902"/>
    <w:rsid w:val="00F501F9"/>
    <w:rsid w:val="00F51105"/>
    <w:rsid w:val="00F52DAB"/>
    <w:rsid w:val="00F53460"/>
    <w:rsid w:val="00F543F0"/>
    <w:rsid w:val="00F54CDE"/>
    <w:rsid w:val="00F551F5"/>
    <w:rsid w:val="00F57B55"/>
    <w:rsid w:val="00F57FE2"/>
    <w:rsid w:val="00F609E6"/>
    <w:rsid w:val="00F61CA4"/>
    <w:rsid w:val="00F64A6E"/>
    <w:rsid w:val="00F65C65"/>
    <w:rsid w:val="00F6653A"/>
    <w:rsid w:val="00F671DB"/>
    <w:rsid w:val="00F7000C"/>
    <w:rsid w:val="00F71BAC"/>
    <w:rsid w:val="00F7213D"/>
    <w:rsid w:val="00F725C8"/>
    <w:rsid w:val="00F72684"/>
    <w:rsid w:val="00F74F50"/>
    <w:rsid w:val="00F75212"/>
    <w:rsid w:val="00F77555"/>
    <w:rsid w:val="00F80108"/>
    <w:rsid w:val="00F80287"/>
    <w:rsid w:val="00F80739"/>
    <w:rsid w:val="00F80980"/>
    <w:rsid w:val="00F80EA3"/>
    <w:rsid w:val="00F81344"/>
    <w:rsid w:val="00F81D29"/>
    <w:rsid w:val="00F82D87"/>
    <w:rsid w:val="00F84615"/>
    <w:rsid w:val="00F85152"/>
    <w:rsid w:val="00F86720"/>
    <w:rsid w:val="00F90788"/>
    <w:rsid w:val="00F917C4"/>
    <w:rsid w:val="00F91C4D"/>
    <w:rsid w:val="00F92DBB"/>
    <w:rsid w:val="00F92FD9"/>
    <w:rsid w:val="00F94415"/>
    <w:rsid w:val="00F962CB"/>
    <w:rsid w:val="00F963A2"/>
    <w:rsid w:val="00FA021D"/>
    <w:rsid w:val="00FA032C"/>
    <w:rsid w:val="00FA0BCE"/>
    <w:rsid w:val="00FA0D81"/>
    <w:rsid w:val="00FA1EF5"/>
    <w:rsid w:val="00FA20BF"/>
    <w:rsid w:val="00FA3467"/>
    <w:rsid w:val="00FA42DE"/>
    <w:rsid w:val="00FA432B"/>
    <w:rsid w:val="00FA514F"/>
    <w:rsid w:val="00FA59D6"/>
    <w:rsid w:val="00FA6684"/>
    <w:rsid w:val="00FA6872"/>
    <w:rsid w:val="00FA731E"/>
    <w:rsid w:val="00FB0090"/>
    <w:rsid w:val="00FB1C45"/>
    <w:rsid w:val="00FB29AD"/>
    <w:rsid w:val="00FB2B38"/>
    <w:rsid w:val="00FB4198"/>
    <w:rsid w:val="00FB45EC"/>
    <w:rsid w:val="00FB4A0A"/>
    <w:rsid w:val="00FB61C0"/>
    <w:rsid w:val="00FB636E"/>
    <w:rsid w:val="00FB65DA"/>
    <w:rsid w:val="00FB71F2"/>
    <w:rsid w:val="00FC011E"/>
    <w:rsid w:val="00FC01B4"/>
    <w:rsid w:val="00FC09D1"/>
    <w:rsid w:val="00FC0EF3"/>
    <w:rsid w:val="00FC22B7"/>
    <w:rsid w:val="00FC30DF"/>
    <w:rsid w:val="00FC3A99"/>
    <w:rsid w:val="00FC43CD"/>
    <w:rsid w:val="00FC47E9"/>
    <w:rsid w:val="00FC4F6D"/>
    <w:rsid w:val="00FC5AC7"/>
    <w:rsid w:val="00FC5CF9"/>
    <w:rsid w:val="00FC6358"/>
    <w:rsid w:val="00FC6399"/>
    <w:rsid w:val="00FD050B"/>
    <w:rsid w:val="00FD14CA"/>
    <w:rsid w:val="00FD1765"/>
    <w:rsid w:val="00FD1ACA"/>
    <w:rsid w:val="00FD1DB5"/>
    <w:rsid w:val="00FD293C"/>
    <w:rsid w:val="00FD320D"/>
    <w:rsid w:val="00FD338C"/>
    <w:rsid w:val="00FD6C5D"/>
    <w:rsid w:val="00FD6DAF"/>
    <w:rsid w:val="00FD7776"/>
    <w:rsid w:val="00FD7E9E"/>
    <w:rsid w:val="00FE0733"/>
    <w:rsid w:val="00FE0ED0"/>
    <w:rsid w:val="00FE0FA9"/>
    <w:rsid w:val="00FE23DE"/>
    <w:rsid w:val="00FE2B3C"/>
    <w:rsid w:val="00FE3BBE"/>
    <w:rsid w:val="00FE46C1"/>
    <w:rsid w:val="00FE5377"/>
    <w:rsid w:val="00FE5EC0"/>
    <w:rsid w:val="00FF0265"/>
    <w:rsid w:val="00FF09D8"/>
    <w:rsid w:val="00FF32EA"/>
    <w:rsid w:val="00FF356E"/>
    <w:rsid w:val="00FF381D"/>
    <w:rsid w:val="00FF4B44"/>
    <w:rsid w:val="00FF4B9A"/>
    <w:rsid w:val="00FF4C80"/>
    <w:rsid w:val="00FF6F47"/>
    <w:rsid w:val="00FF7832"/>
    <w:rsid w:val="12522EB2"/>
    <w:rsid w:val="7801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link w:val="149"/>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5"/>
    <w:basedOn w:val="1"/>
    <w:next w:val="1"/>
    <w:link w:val="171"/>
    <w:semiHidden/>
    <w:unhideWhenUsed/>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7">
    <w:name w:val="index 8"/>
    <w:basedOn w:val="1"/>
    <w:next w:val="1"/>
    <w:autoRedefine/>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autoRedefine/>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5"/>
    <w:unhideWhenUsed/>
    <w:qFormat/>
    <w:uiPriority w:val="99"/>
    <w:pPr>
      <w:jc w:val="left"/>
    </w:pPr>
    <w:rPr>
      <w:color w:val="0000FF"/>
      <w:kern w:val="0"/>
      <w:szCs w:val="21"/>
    </w:rPr>
  </w:style>
  <w:style w:type="paragraph" w:styleId="12">
    <w:name w:val="index 6"/>
    <w:basedOn w:val="1"/>
    <w:next w:val="1"/>
    <w:autoRedefine/>
    <w:uiPriority w:val="0"/>
    <w:pPr>
      <w:ind w:left="1260" w:hanging="210"/>
      <w:jc w:val="left"/>
    </w:pPr>
    <w:rPr>
      <w:rFonts w:ascii="Calibri" w:hAnsi="Calibri"/>
      <w:sz w:val="20"/>
      <w:szCs w:val="20"/>
    </w:rPr>
  </w:style>
  <w:style w:type="paragraph" w:styleId="13">
    <w:name w:val="Body Text"/>
    <w:basedOn w:val="1"/>
    <w:link w:val="164"/>
    <w:semiHidden/>
    <w:qFormat/>
    <w:uiPriority w:val="0"/>
    <w:pPr>
      <w:widowControl/>
      <w:kinsoku w:val="0"/>
      <w:autoSpaceDE w:val="0"/>
      <w:autoSpaceDN w:val="0"/>
      <w:adjustRightInd w:val="0"/>
      <w:snapToGrid w:val="0"/>
      <w:spacing w:after="160"/>
      <w:jc w:val="left"/>
      <w:textAlignment w:val="baseline"/>
    </w:pPr>
    <w:rPr>
      <w:rFonts w:ascii="Arial" w:hAnsi="Arial" w:eastAsia="Arial" w:cs="Arial"/>
      <w:snapToGrid w:val="0"/>
      <w:color w:val="000000"/>
      <w:kern w:val="0"/>
      <w:szCs w:val="21"/>
      <w:lang w:eastAsia="en-US"/>
    </w:rPr>
  </w:style>
  <w:style w:type="paragraph" w:styleId="14">
    <w:name w:val="index 4"/>
    <w:basedOn w:val="1"/>
    <w:next w:val="1"/>
    <w:autoRedefine/>
    <w:qFormat/>
    <w:uiPriority w:val="0"/>
    <w:pPr>
      <w:ind w:left="840" w:hanging="210"/>
      <w:jc w:val="left"/>
    </w:pPr>
    <w:rPr>
      <w:rFonts w:ascii="Calibri" w:hAnsi="Calibri"/>
      <w:sz w:val="20"/>
      <w:szCs w:val="20"/>
    </w:rPr>
  </w:style>
  <w:style w:type="paragraph" w:styleId="15">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6">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7">
    <w:name w:val="toc 8"/>
    <w:basedOn w:val="1"/>
    <w:next w:val="1"/>
    <w:autoRedefine/>
    <w:semiHidden/>
    <w:uiPriority w:val="0"/>
    <w:pPr>
      <w:tabs>
        <w:tab w:val="right" w:leader="dot" w:pos="9241"/>
      </w:tabs>
      <w:ind w:firstLine="607" w:firstLineChars="600"/>
      <w:jc w:val="left"/>
    </w:pPr>
    <w:rPr>
      <w:rFonts w:ascii="宋体"/>
      <w:szCs w:val="21"/>
    </w:rPr>
  </w:style>
  <w:style w:type="paragraph" w:styleId="18">
    <w:name w:val="index 3"/>
    <w:basedOn w:val="1"/>
    <w:next w:val="1"/>
    <w:autoRedefine/>
    <w:qFormat/>
    <w:uiPriority w:val="0"/>
    <w:pPr>
      <w:ind w:left="630" w:hanging="210"/>
      <w:jc w:val="left"/>
    </w:pPr>
    <w:rPr>
      <w:rFonts w:ascii="Calibri" w:hAnsi="Calibri"/>
      <w:sz w:val="20"/>
      <w:szCs w:val="20"/>
    </w:rPr>
  </w:style>
  <w:style w:type="paragraph" w:styleId="19">
    <w:name w:val="Date"/>
    <w:basedOn w:val="1"/>
    <w:next w:val="1"/>
    <w:link w:val="147"/>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148"/>
    <w:qFormat/>
    <w:uiPriority w:val="0"/>
    <w:rPr>
      <w:sz w:val="18"/>
      <w:szCs w:val="18"/>
    </w:rPr>
  </w:style>
  <w:style w:type="paragraph" w:styleId="22">
    <w:name w:val="footer"/>
    <w:basedOn w:val="1"/>
    <w:link w:val="162"/>
    <w:qFormat/>
    <w:uiPriority w:val="99"/>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autoRedefine/>
    <w:uiPriority w:val="39"/>
    <w:pPr>
      <w:tabs>
        <w:tab w:val="right" w:leader="dot" w:pos="9242"/>
      </w:tabs>
      <w:spacing w:beforeLines="25" w:afterLines="25"/>
      <w:jc w:val="left"/>
    </w:pPr>
    <w:rPr>
      <w:rFonts w:ascii="宋体"/>
      <w:szCs w:val="21"/>
    </w:rPr>
  </w:style>
  <w:style w:type="paragraph" w:styleId="25">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6">
    <w:name w:val="index heading"/>
    <w:basedOn w:val="1"/>
    <w:next w:val="27"/>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31">
    <w:name w:val="index 7"/>
    <w:basedOn w:val="1"/>
    <w:next w:val="1"/>
    <w:autoRedefine/>
    <w:qFormat/>
    <w:uiPriority w:val="0"/>
    <w:pPr>
      <w:ind w:left="1470" w:hanging="210"/>
      <w:jc w:val="left"/>
    </w:pPr>
    <w:rPr>
      <w:rFonts w:ascii="Calibri" w:hAnsi="Calibri"/>
      <w:sz w:val="20"/>
      <w:szCs w:val="20"/>
    </w:rPr>
  </w:style>
  <w:style w:type="paragraph" w:styleId="32">
    <w:name w:val="index 9"/>
    <w:basedOn w:val="1"/>
    <w:next w:val="1"/>
    <w:autoRedefine/>
    <w:qFormat/>
    <w:uiPriority w:val="0"/>
    <w:pPr>
      <w:ind w:left="1890" w:hanging="210"/>
      <w:jc w:val="left"/>
    </w:pPr>
    <w:rPr>
      <w:rFonts w:ascii="Calibri" w:hAnsi="Calibri"/>
      <w:sz w:val="20"/>
      <w:szCs w:val="20"/>
    </w:rPr>
  </w:style>
  <w:style w:type="paragraph" w:styleId="33">
    <w:name w:val="toc 2"/>
    <w:basedOn w:val="1"/>
    <w:next w:val="1"/>
    <w:autoRedefine/>
    <w:qFormat/>
    <w:uiPriority w:val="39"/>
    <w:pPr>
      <w:tabs>
        <w:tab w:val="right" w:leader="dot" w:pos="9242"/>
      </w:tabs>
    </w:pPr>
    <w:rPr>
      <w:rFonts w:ascii="宋体"/>
      <w:szCs w:val="21"/>
    </w:rPr>
  </w:style>
  <w:style w:type="paragraph" w:styleId="34">
    <w:name w:val="toc 9"/>
    <w:basedOn w:val="1"/>
    <w:next w:val="1"/>
    <w:autoRedefine/>
    <w:semiHidden/>
    <w:qFormat/>
    <w:uiPriority w:val="0"/>
    <w:pPr>
      <w:ind w:left="1470"/>
      <w:jc w:val="left"/>
    </w:pPr>
    <w:rPr>
      <w:sz w:val="20"/>
      <w:szCs w:val="20"/>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autoRedefine/>
    <w:qFormat/>
    <w:uiPriority w:val="0"/>
    <w:pPr>
      <w:ind w:left="420" w:hanging="210"/>
      <w:jc w:val="left"/>
    </w:pPr>
    <w:rPr>
      <w:rFonts w:ascii="Calibri" w:hAnsi="Calibri"/>
      <w:sz w:val="20"/>
      <w:szCs w:val="20"/>
    </w:rPr>
  </w:style>
  <w:style w:type="paragraph" w:styleId="37">
    <w:name w:val="Title"/>
    <w:basedOn w:val="1"/>
    <w:next w:val="1"/>
    <w:link w:val="154"/>
    <w:qFormat/>
    <w:uiPriority w:val="0"/>
    <w:pPr>
      <w:spacing w:before="240" w:after="60"/>
      <w:jc w:val="center"/>
      <w:outlineLvl w:val="0"/>
    </w:pPr>
    <w:rPr>
      <w:rFonts w:ascii="Cambria" w:hAnsi="Cambria"/>
      <w:b/>
      <w:bCs/>
      <w:sz w:val="32"/>
      <w:szCs w:val="32"/>
    </w:rPr>
  </w:style>
  <w:style w:type="paragraph" w:styleId="38">
    <w:name w:val="annotation subject"/>
    <w:basedOn w:val="11"/>
    <w:next w:val="11"/>
    <w:link w:val="169"/>
    <w:semiHidden/>
    <w:unhideWhenUsed/>
    <w:qFormat/>
    <w:uiPriority w:val="0"/>
    <w:rPr>
      <w:b/>
      <w:bCs/>
      <w:color w:val="auto"/>
      <w:kern w:val="2"/>
      <w:szCs w:val="24"/>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qFormat/>
    <w:uiPriority w:val="22"/>
    <w:rPr>
      <w:b/>
      <w:bCs/>
    </w:r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Emphasis"/>
    <w:qFormat/>
    <w:uiPriority w:val="20"/>
    <w:rPr>
      <w:color w:val="CC0000"/>
    </w:rPr>
  </w:style>
  <w:style w:type="character" w:styleId="46">
    <w:name w:val="Hyperlink"/>
    <w:qFormat/>
    <w:uiPriority w:val="99"/>
    <w:rPr>
      <w:color w:val="0000FF"/>
      <w:spacing w:val="0"/>
      <w:w w:val="100"/>
      <w:szCs w:val="21"/>
      <w:u w:val="single"/>
    </w:rPr>
  </w:style>
  <w:style w:type="character" w:styleId="47">
    <w:name w:val="annotation reference"/>
    <w:semiHidden/>
    <w:unhideWhenUsed/>
    <w:qFormat/>
    <w:uiPriority w:val="99"/>
    <w:rPr>
      <w:sz w:val="21"/>
      <w:szCs w:val="21"/>
    </w:rPr>
  </w:style>
  <w:style w:type="character" w:styleId="48">
    <w:name w:val="footnote reference"/>
    <w:semiHidden/>
    <w:qFormat/>
    <w:uiPriority w:val="0"/>
    <w:rPr>
      <w:vertAlign w:val="superscript"/>
    </w:rPr>
  </w:style>
  <w:style w:type="character" w:customStyle="1" w:styleId="49">
    <w:name w:val="段 Char"/>
    <w:link w:val="28"/>
    <w:qFormat/>
    <w:uiPriority w:val="0"/>
    <w:rPr>
      <w:rFonts w:ascii="宋体"/>
      <w:sz w:val="21"/>
      <w:lang w:val="en-US" w:eastAsia="zh-CN" w:bidi="ar-SA"/>
    </w:rPr>
  </w:style>
  <w:style w:type="paragraph" w:customStyle="1" w:styleId="50">
    <w:name w:val="一级条标题"/>
    <w:next w:val="28"/>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8"/>
    <w:qFormat/>
    <w:uiPriority w:val="0"/>
    <w:pPr>
      <w:numPr>
        <w:ilvl w:val="2"/>
      </w:numPr>
      <w:spacing w:before="50" w:after="50"/>
      <w:ind w:left="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8"/>
    <w:qFormat/>
    <w:uiPriority w:val="0"/>
    <w:pPr>
      <w:numPr>
        <w:ilvl w:val="3"/>
      </w:num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28"/>
    <w:qFormat/>
    <w:uiPriority w:val="0"/>
    <w:pPr>
      <w:numPr>
        <w:ilvl w:val="4"/>
      </w:numPr>
      <w:outlineLvl w:val="5"/>
    </w:pPr>
  </w:style>
  <w:style w:type="paragraph" w:customStyle="1" w:styleId="64">
    <w:name w:val="五级条标题"/>
    <w:basedOn w:val="63"/>
    <w:next w:val="28"/>
    <w:qFormat/>
    <w:uiPriority w:val="0"/>
    <w:pPr>
      <w:numPr>
        <w:ilvl w:val="5"/>
      </w:numPr>
      <w:outlineLvl w:val="6"/>
    </w:pPr>
  </w:style>
  <w:style w:type="paragraph" w:customStyle="1" w:styleId="65">
    <w:name w:val="注："/>
    <w:next w:val="28"/>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0">
    <w:name w:val="示例×："/>
    <w:basedOn w:val="53"/>
    <w:qFormat/>
    <w:uiPriority w:val="0"/>
    <w:pPr>
      <w:numPr>
        <w:numId w:val="8"/>
      </w:numPr>
      <w:spacing w:beforeLines="0" w:afterLines="0"/>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28"/>
    <w:qFormat/>
    <w:uiPriority w:val="0"/>
  </w:style>
  <w:style w:type="paragraph" w:customStyle="1" w:styleId="73">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8"/>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附录标题"/>
    <w:basedOn w:val="28"/>
    <w:next w:val="28"/>
    <w:qFormat/>
    <w:uiPriority w:val="0"/>
    <w:pPr>
      <w:ind w:firstLine="0" w:firstLineChars="0"/>
      <w:jc w:val="center"/>
    </w:pPr>
    <w:rPr>
      <w:rFonts w:ascii="黑体" w:eastAsia="黑体"/>
    </w:rPr>
  </w:style>
  <w:style w:type="paragraph" w:customStyle="1" w:styleId="94">
    <w:name w:val="附录表标号"/>
    <w:basedOn w:val="1"/>
    <w:next w:val="2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5">
    <w:name w:val="附录表标题"/>
    <w:basedOn w:val="1"/>
    <w:next w:val="28"/>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2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8"/>
    <w:next w:val="28"/>
    <w:link w:val="99"/>
    <w:qFormat/>
    <w:uiPriority w:val="0"/>
  </w:style>
  <w:style w:type="character" w:customStyle="1" w:styleId="99">
    <w:name w:val="附录公式 Char"/>
    <w:link w:val="98"/>
    <w:qFormat/>
    <w:uiPriority w:val="0"/>
    <w:rPr>
      <w:rFonts w:ascii="宋体"/>
      <w:sz w:val="21"/>
      <w:lang w:val="en-US" w:eastAsia="zh-CN" w:bidi="ar-SA"/>
    </w:rPr>
  </w:style>
  <w:style w:type="paragraph" w:customStyle="1" w:styleId="100">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8"/>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4">
    <w:name w:val="附录四级条标题"/>
    <w:basedOn w:val="101"/>
    <w:next w:val="28"/>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7">
    <w:name w:val="附录图标题"/>
    <w:basedOn w:val="1"/>
    <w:next w:val="2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8">
    <w:name w:val="附录五级条标题"/>
    <w:basedOn w:val="104"/>
    <w:next w:val="28"/>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8"/>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8"/>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uiPriority w:val="0"/>
    <w:pPr>
      <w:spacing w:beforeLines="0" w:afterLines="0"/>
    </w:pPr>
    <w:rPr>
      <w:rFonts w:ascii="宋体" w:eastAsia="宋体"/>
    </w:rPr>
  </w:style>
  <w:style w:type="paragraph" w:customStyle="1" w:styleId="122">
    <w:name w:val="实施日期"/>
    <w:basedOn w:val="83"/>
    <w:uiPriority w:val="0"/>
    <w:pPr>
      <w:framePr w:wrap="around" w:vAnchor="page" w:hAnchor="text"/>
      <w:jc w:val="right"/>
    </w:pPr>
  </w:style>
  <w:style w:type="paragraph" w:customStyle="1" w:styleId="123">
    <w:name w:val="示例后文字"/>
    <w:basedOn w:val="28"/>
    <w:next w:val="28"/>
    <w:qFormat/>
    <w:uiPriority w:val="0"/>
    <w:pPr>
      <w:ind w:firstLine="360"/>
    </w:pPr>
    <w:rPr>
      <w:sz w:val="18"/>
    </w:rPr>
  </w:style>
  <w:style w:type="paragraph" w:customStyle="1" w:styleId="124">
    <w:name w:val="首示例"/>
    <w:next w:val="28"/>
    <w:link w:val="125"/>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rPr>
  </w:style>
  <w:style w:type="paragraph" w:customStyle="1" w:styleId="126">
    <w:name w:val="四级无"/>
    <w:basedOn w:val="63"/>
    <w:qFormat/>
    <w:uiPriority w:val="0"/>
    <w:pPr>
      <w:spacing w:beforeLines="0" w:afterLines="0"/>
    </w:pPr>
    <w:rPr>
      <w:rFonts w:ascii="宋体" w:eastAsia="宋体"/>
    </w:rPr>
  </w:style>
  <w:style w:type="paragraph" w:customStyle="1" w:styleId="127">
    <w:name w:val="条文脚注"/>
    <w:basedOn w:val="29"/>
    <w:qFormat/>
    <w:uiPriority w:val="0"/>
    <w:pPr>
      <w:numPr>
        <w:numId w:val="0"/>
      </w:numPr>
      <w:jc w:val="both"/>
    </w:pPr>
  </w:style>
  <w:style w:type="paragraph" w:customStyle="1" w:styleId="128">
    <w:name w:val="图标脚注说明"/>
    <w:basedOn w:val="28"/>
    <w:qFormat/>
    <w:uiPriority w:val="0"/>
    <w:pPr>
      <w:ind w:left="840" w:hanging="420" w:firstLineChars="0"/>
    </w:pPr>
    <w:rPr>
      <w:sz w:val="18"/>
      <w:szCs w:val="18"/>
    </w:rPr>
  </w:style>
  <w:style w:type="paragraph" w:customStyle="1" w:styleId="129">
    <w:name w:val="图表脚注说明"/>
    <w:basedOn w:val="1"/>
    <w:uiPriority w:val="0"/>
    <w:pPr>
      <w:numPr>
        <w:ilvl w:val="0"/>
        <w:numId w:val="15"/>
      </w:numPr>
    </w:pPr>
    <w:rPr>
      <w:rFonts w:ascii="宋体"/>
      <w:sz w:val="18"/>
      <w:szCs w:val="18"/>
    </w:rPr>
  </w:style>
  <w:style w:type="paragraph" w:customStyle="1" w:styleId="130">
    <w:name w:val="图的脚注"/>
    <w:next w:val="28"/>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uiPriority w:val="0"/>
    <w:pPr>
      <w:spacing w:beforeLines="0" w:afterLines="0"/>
    </w:pPr>
    <w:rPr>
      <w:rFonts w:ascii="宋体" w:eastAsia="宋体"/>
    </w:rPr>
  </w:style>
  <w:style w:type="paragraph" w:customStyle="1" w:styleId="133">
    <w:name w:val="一级无"/>
    <w:basedOn w:val="50"/>
    <w:uiPriority w:val="0"/>
    <w:pPr>
      <w:spacing w:beforeLines="0" w:afterLines="0"/>
    </w:pPr>
    <w:rPr>
      <w:rFonts w:ascii="宋体" w:eastAsia="宋体"/>
    </w:rPr>
  </w:style>
  <w:style w:type="character" w:customStyle="1" w:styleId="134">
    <w:name w:val="访问过的超链接1"/>
    <w:uiPriority w:val="0"/>
    <w:rPr>
      <w:color w:val="800080"/>
      <w:u w:val="single"/>
    </w:rPr>
  </w:style>
  <w:style w:type="paragraph" w:customStyle="1" w:styleId="135">
    <w:name w:val="正文表标题"/>
    <w:next w:val="2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8"/>
    <w:next w:val="28"/>
    <w:qFormat/>
    <w:uiPriority w:val="0"/>
    <w:pPr>
      <w:ind w:firstLine="0" w:firstLineChars="0"/>
    </w:pPr>
  </w:style>
  <w:style w:type="paragraph" w:customStyle="1" w:styleId="137">
    <w:name w:val="正文图标题"/>
    <w:next w:val="28"/>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8">
    <w:name w:val="终结线"/>
    <w:basedOn w:val="1"/>
    <w:uiPriority w:val="0"/>
    <w:pPr>
      <w:framePr w:hSpace="181" w:vSpace="181" w:wrap="around" w:vAnchor="text" w:hAnchor="margin" w:xAlign="center" w:y="285"/>
    </w:pPr>
  </w:style>
  <w:style w:type="paragraph" w:customStyle="1" w:styleId="139">
    <w:name w:val="其他发布日期"/>
    <w:basedOn w:val="83"/>
    <w:uiPriority w:val="0"/>
    <w:pPr>
      <w:framePr w:wrap="around" w:vAnchor="page" w:hAnchor="text" w:x="1419"/>
    </w:pPr>
  </w:style>
  <w:style w:type="paragraph" w:customStyle="1" w:styleId="140">
    <w:name w:val="其他实施日期"/>
    <w:basedOn w:val="122"/>
    <w:uiPriority w:val="0"/>
    <w:pPr>
      <w:framePr w:wrap="around"/>
    </w:pPr>
  </w:style>
  <w:style w:type="paragraph" w:customStyle="1" w:styleId="141">
    <w:name w:val="封面标准名称2"/>
    <w:basedOn w:val="86"/>
    <w:uiPriority w:val="0"/>
    <w:pPr>
      <w:framePr w:wrap="around" w:y="4469"/>
      <w:spacing w:beforeLines="630"/>
    </w:pPr>
  </w:style>
  <w:style w:type="paragraph" w:customStyle="1" w:styleId="142">
    <w:name w:val="封面标准英文名称2"/>
    <w:basedOn w:val="87"/>
    <w:qFormat/>
    <w:uiPriority w:val="0"/>
    <w:pPr>
      <w:framePr w:wrap="around" w:y="4469"/>
    </w:pPr>
  </w:style>
  <w:style w:type="paragraph" w:customStyle="1" w:styleId="143">
    <w:name w:val="封面一致性程度标识2"/>
    <w:basedOn w:val="88"/>
    <w:uiPriority w:val="0"/>
    <w:pPr>
      <w:framePr w:wrap="around" w:y="4469"/>
    </w:pPr>
  </w:style>
  <w:style w:type="paragraph" w:customStyle="1" w:styleId="144">
    <w:name w:val="封面标准文稿类别2"/>
    <w:basedOn w:val="89"/>
    <w:uiPriority w:val="0"/>
    <w:pPr>
      <w:framePr w:wrap="around" w:y="4469"/>
    </w:pPr>
  </w:style>
  <w:style w:type="paragraph" w:customStyle="1" w:styleId="145">
    <w:name w:val="封面标准文稿编辑信息2"/>
    <w:basedOn w:val="90"/>
    <w:uiPriority w:val="0"/>
    <w:pPr>
      <w:framePr w:wrap="around" w:y="4469"/>
    </w:pPr>
  </w:style>
  <w:style w:type="paragraph" w:styleId="146">
    <w:name w:val="List Paragraph"/>
    <w:basedOn w:val="1"/>
    <w:qFormat/>
    <w:uiPriority w:val="34"/>
    <w:pPr>
      <w:ind w:firstLine="420" w:firstLineChars="200"/>
    </w:pPr>
  </w:style>
  <w:style w:type="character" w:customStyle="1" w:styleId="147">
    <w:name w:val="日期 字符"/>
    <w:link w:val="19"/>
    <w:uiPriority w:val="0"/>
    <w:rPr>
      <w:kern w:val="2"/>
      <w:sz w:val="21"/>
      <w:szCs w:val="24"/>
    </w:rPr>
  </w:style>
  <w:style w:type="character" w:customStyle="1" w:styleId="148">
    <w:name w:val="批注框文本 字符"/>
    <w:link w:val="21"/>
    <w:uiPriority w:val="0"/>
    <w:rPr>
      <w:kern w:val="2"/>
      <w:sz w:val="18"/>
      <w:szCs w:val="18"/>
    </w:rPr>
  </w:style>
  <w:style w:type="character" w:customStyle="1" w:styleId="149">
    <w:name w:val="标题 3 字符"/>
    <w:link w:val="4"/>
    <w:uiPriority w:val="9"/>
    <w:rPr>
      <w:rFonts w:ascii="宋体" w:hAnsi="宋体"/>
      <w:b/>
      <w:bCs/>
      <w:sz w:val="27"/>
      <w:szCs w:val="27"/>
    </w:rPr>
  </w:style>
  <w:style w:type="paragraph" w:customStyle="1" w:styleId="150">
    <w:name w:val="列出段落2"/>
    <w:basedOn w:val="1"/>
    <w:uiPriority w:val="0"/>
    <w:pPr>
      <w:ind w:firstLine="420" w:firstLineChars="200"/>
    </w:pPr>
    <w:rPr>
      <w:rFonts w:ascii="Calibri" w:hAnsi="Calibri"/>
      <w:szCs w:val="22"/>
    </w:rPr>
  </w:style>
  <w:style w:type="character" w:styleId="151">
    <w:name w:val="Placeholder Text"/>
    <w:semiHidden/>
    <w:uiPriority w:val="99"/>
    <w:rPr>
      <w:color w:val="808080"/>
    </w:rPr>
  </w:style>
  <w:style w:type="character" w:customStyle="1" w:styleId="152">
    <w:name w:val="标题 2 字符"/>
    <w:link w:val="3"/>
    <w:qFormat/>
    <w:uiPriority w:val="0"/>
    <w:rPr>
      <w:rFonts w:ascii="Arial" w:hAnsi="Arial" w:eastAsia="黑体"/>
      <w:b/>
      <w:bCs/>
      <w:kern w:val="2"/>
      <w:sz w:val="32"/>
      <w:szCs w:val="32"/>
    </w:rPr>
  </w:style>
  <w:style w:type="character" w:customStyle="1" w:styleId="153">
    <w:name w:val="标题 1 字符"/>
    <w:link w:val="2"/>
    <w:uiPriority w:val="9"/>
    <w:rPr>
      <w:b/>
      <w:bCs/>
      <w:kern w:val="44"/>
      <w:sz w:val="44"/>
      <w:szCs w:val="44"/>
    </w:rPr>
  </w:style>
  <w:style w:type="character" w:customStyle="1" w:styleId="154">
    <w:name w:val="标题 字符"/>
    <w:link w:val="37"/>
    <w:qFormat/>
    <w:uiPriority w:val="0"/>
    <w:rPr>
      <w:rFonts w:ascii="Cambria" w:hAnsi="Cambria" w:eastAsia="宋体" w:cs="Times New Roman"/>
      <w:b/>
      <w:bCs/>
      <w:kern w:val="2"/>
      <w:sz w:val="32"/>
      <w:szCs w:val="32"/>
    </w:rPr>
  </w:style>
  <w:style w:type="character" w:customStyle="1" w:styleId="155">
    <w:name w:val="批注文字 字符"/>
    <w:link w:val="11"/>
    <w:qFormat/>
    <w:uiPriority w:val="99"/>
    <w:rPr>
      <w:color w:val="0000FF"/>
      <w:sz w:val="21"/>
      <w:szCs w:val="21"/>
    </w:rPr>
  </w:style>
  <w:style w:type="paragraph" w:customStyle="1" w:styleId="15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7">
    <w:name w:val="二级无标题条"/>
    <w:basedOn w:val="1"/>
    <w:qFormat/>
    <w:uiPriority w:val="0"/>
    <w:pPr>
      <w:numPr>
        <w:ilvl w:val="3"/>
        <w:numId w:val="18"/>
      </w:numPr>
    </w:pPr>
  </w:style>
  <w:style w:type="paragraph" w:customStyle="1" w:styleId="158">
    <w:name w:val="三级无标题条"/>
    <w:basedOn w:val="1"/>
    <w:qFormat/>
    <w:uiPriority w:val="0"/>
    <w:pPr>
      <w:numPr>
        <w:ilvl w:val="4"/>
        <w:numId w:val="18"/>
      </w:numPr>
    </w:pPr>
  </w:style>
  <w:style w:type="paragraph" w:customStyle="1" w:styleId="159">
    <w:name w:val="四级无标题条"/>
    <w:basedOn w:val="1"/>
    <w:qFormat/>
    <w:uiPriority w:val="0"/>
    <w:pPr>
      <w:numPr>
        <w:ilvl w:val="5"/>
        <w:numId w:val="18"/>
      </w:numPr>
    </w:pPr>
  </w:style>
  <w:style w:type="paragraph" w:customStyle="1" w:styleId="160">
    <w:name w:val="五级无标题条"/>
    <w:basedOn w:val="1"/>
    <w:qFormat/>
    <w:uiPriority w:val="0"/>
    <w:pPr>
      <w:numPr>
        <w:ilvl w:val="6"/>
        <w:numId w:val="18"/>
      </w:numPr>
    </w:pPr>
  </w:style>
  <w:style w:type="paragraph" w:customStyle="1" w:styleId="161">
    <w:name w:val="一级无标题条"/>
    <w:basedOn w:val="1"/>
    <w:qFormat/>
    <w:uiPriority w:val="0"/>
    <w:pPr>
      <w:numPr>
        <w:ilvl w:val="2"/>
        <w:numId w:val="18"/>
      </w:numPr>
    </w:pPr>
  </w:style>
  <w:style w:type="character" w:customStyle="1" w:styleId="162">
    <w:name w:val="页脚 字符"/>
    <w:link w:val="22"/>
    <w:qFormat/>
    <w:uiPriority w:val="99"/>
    <w:rPr>
      <w:kern w:val="2"/>
      <w:sz w:val="18"/>
      <w:szCs w:val="18"/>
    </w:rPr>
  </w:style>
  <w:style w:type="table" w:customStyle="1" w:styleId="163">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64">
    <w:name w:val="正文文本 字符"/>
    <w:link w:val="13"/>
    <w:semiHidden/>
    <w:qFormat/>
    <w:uiPriority w:val="0"/>
    <w:rPr>
      <w:rFonts w:ascii="Arial" w:hAnsi="Arial" w:eastAsia="Arial" w:cs="Arial"/>
      <w:snapToGrid w:val="0"/>
      <w:color w:val="000000"/>
      <w:sz w:val="21"/>
      <w:szCs w:val="21"/>
      <w:lang w:eastAsia="en-US"/>
    </w:rPr>
  </w:style>
  <w:style w:type="paragraph" w:customStyle="1" w:styleId="165">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18"/>
      <w:szCs w:val="18"/>
      <w:lang w:eastAsia="en-US"/>
    </w:rPr>
  </w:style>
  <w:style w:type="paragraph" w:customStyle="1" w:styleId="166">
    <w:name w:val="Table Paragraph"/>
    <w:basedOn w:val="1"/>
    <w:qFormat/>
    <w:uiPriority w:val="1"/>
    <w:pPr>
      <w:autoSpaceDE w:val="0"/>
      <w:autoSpaceDN w:val="0"/>
      <w:jc w:val="left"/>
    </w:pPr>
    <w:rPr>
      <w:rFonts w:ascii="宋体" w:hAnsi="宋体" w:cs="宋体"/>
      <w:kern w:val="0"/>
      <w:sz w:val="22"/>
      <w:szCs w:val="22"/>
    </w:rPr>
  </w:style>
  <w:style w:type="paragraph" w:customStyle="1" w:styleId="167">
    <w:name w:val="CECS标准-正文"/>
    <w:basedOn w:val="1"/>
    <w:link w:val="168"/>
    <w:qFormat/>
    <w:uiPriority w:val="0"/>
    <w:pPr>
      <w:adjustRightInd w:val="0"/>
      <w:snapToGrid w:val="0"/>
      <w:spacing w:line="360" w:lineRule="auto"/>
      <w:ind w:firstLine="200" w:firstLineChars="200"/>
    </w:pPr>
    <w:rPr>
      <w:bCs/>
      <w:szCs w:val="21"/>
    </w:rPr>
  </w:style>
  <w:style w:type="character" w:customStyle="1" w:styleId="168">
    <w:name w:val="CECS标准-正文 字符"/>
    <w:link w:val="167"/>
    <w:qFormat/>
    <w:uiPriority w:val="0"/>
    <w:rPr>
      <w:bCs/>
      <w:kern w:val="2"/>
      <w:sz w:val="21"/>
      <w:szCs w:val="21"/>
    </w:rPr>
  </w:style>
  <w:style w:type="character" w:customStyle="1" w:styleId="169">
    <w:name w:val="批注主题 字符"/>
    <w:basedOn w:val="155"/>
    <w:link w:val="38"/>
    <w:semiHidden/>
    <w:qFormat/>
    <w:uiPriority w:val="0"/>
    <w:rPr>
      <w:b/>
      <w:bCs/>
      <w:color w:val="0000FF"/>
      <w:kern w:val="2"/>
      <w:sz w:val="21"/>
      <w:szCs w:val="24"/>
    </w:rPr>
  </w:style>
  <w:style w:type="character" w:customStyle="1" w:styleId="170">
    <w:name w:val="Unresolved Mention"/>
    <w:basedOn w:val="41"/>
    <w:semiHidden/>
    <w:unhideWhenUsed/>
    <w:qFormat/>
    <w:uiPriority w:val="99"/>
    <w:rPr>
      <w:color w:val="605E5C"/>
      <w:shd w:val="clear" w:color="auto" w:fill="E1DFDD"/>
    </w:rPr>
  </w:style>
  <w:style w:type="character" w:customStyle="1" w:styleId="171">
    <w:name w:val="标题 5 字符"/>
    <w:basedOn w:val="41"/>
    <w:link w:val="5"/>
    <w:semiHidden/>
    <w:qFormat/>
    <w:uiPriority w:val="0"/>
    <w:rPr>
      <w:b/>
      <w:bCs/>
      <w:kern w:val="2"/>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52F517-7312-4BD2-8A6F-0663A24045A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29</Pages>
  <Words>4757</Words>
  <Characters>5625</Characters>
  <Lines>1085</Lines>
  <Paragraphs>998</Paragraphs>
  <TotalTime>0</TotalTime>
  <ScaleCrop>false</ScaleCrop>
  <LinksUpToDate>false</LinksUpToDate>
  <CharactersWithSpaces>5898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2025-10-21T02:45:00Z</dcterms:created>
  <dc:creator>CNIS</dc:creator>
  <cp:lastModifiedBy>陈文昕</cp:lastModifiedBy>
  <cp:lastPrinted>2025-08-13T06:14:00Z</cp:lastPrinted>
  <dcterms:modified xsi:type="dcterms:W3CDTF">2026-01-19T00:54:38Z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eyJoZGlkIjoiNWVhYWI4NTJmMDcwNmRmZjhjM2I0ZGJhYTNkYjUzMWEiLCJ1c2VySWQiOiIzMjY1MjczMzIifQ==</vt:lpwstr>
  </property>
  <property fmtid="{D5CDD505-2E9C-101B-9397-08002B2CF9AE}" pid="3" name="KSOProductBuildVer">
    <vt:lpwstr>2052-12.1.0.24657</vt:lpwstr>
  </property>
  <property fmtid="{D5CDD505-2E9C-101B-9397-08002B2CF9AE}" pid="4" name="ICV">
    <vt:lpwstr>83DFD5F3DB404500B2AE39940D5D54DE_12</vt:lpwstr>
  </property>
</Properties>
</file>