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</w:rPr>
      </w:pPr>
    </w:p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</w:rPr>
      </w:pPr>
    </w:p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</w:rPr>
      </w:pPr>
    </w:p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</w:rPr>
      </w:pPr>
    </w:p>
    <w:p>
      <w:pPr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52"/>
          <w:highlight w:val="none"/>
          <w:lang w:val="en-US" w:eastAsia="zh-CN"/>
        </w:rPr>
      </w:pPr>
      <w:r>
        <w:rPr>
          <w:rFonts w:hint="eastAsia" w:ascii="华文中宋" w:hAnsi="华文中宋" w:eastAsia="华文中宋"/>
          <w:b/>
          <w:color w:val="auto"/>
          <w:kern w:val="0"/>
          <w:sz w:val="52"/>
          <w:highlight w:val="none"/>
          <w:lang w:val="en-US" w:eastAsia="zh-CN"/>
        </w:rPr>
        <w:t>参与市场化交易用户授权协议</w:t>
      </w:r>
    </w:p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  <w:lang w:eastAsia="zh-CN"/>
        </w:rPr>
      </w:pPr>
    </w:p>
    <w:p>
      <w:pPr>
        <w:snapToGrid w:val="0"/>
        <w:jc w:val="center"/>
        <w:rPr>
          <w:rFonts w:hint="eastAsia" w:ascii="方正仿宋_GBK" w:hAnsi="宋体" w:eastAsia="方正仿宋_GBK"/>
          <w:b/>
          <w:color w:val="auto"/>
          <w:kern w:val="0"/>
          <w:sz w:val="32"/>
          <w:highlight w:val="none"/>
        </w:rPr>
      </w:pPr>
    </w:p>
    <w:p>
      <w:pPr>
        <w:spacing w:line="720" w:lineRule="exact"/>
        <w:ind w:firstLine="641" w:firstLineChars="200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spacing w:line="720" w:lineRule="exact"/>
        <w:ind w:firstLine="641" w:firstLineChars="200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spacing w:line="720" w:lineRule="exact"/>
        <w:ind w:firstLine="641" w:firstLineChars="200"/>
        <w:rPr>
          <w:rFonts w:hint="eastAsia" w:ascii="华文中宋" w:hAnsi="华文中宋" w:eastAsia="华文中宋" w:cs="Times New Roman"/>
          <w:b/>
          <w:color w:val="auto"/>
          <w:kern w:val="0"/>
          <w:sz w:val="32"/>
          <w:highlight w:val="none"/>
        </w:rPr>
      </w:pPr>
      <w:r>
        <w:rPr>
          <w:rFonts w:hint="eastAsia" w:ascii="华文中宋" w:hAnsi="华文中宋" w:eastAsia="华文中宋" w:cs="Times New Roman"/>
          <w:b/>
          <w:color w:val="auto"/>
          <w:kern w:val="0"/>
          <w:sz w:val="32"/>
          <w:highlight w:val="none"/>
        </w:rPr>
        <w:t>用电人：</w:t>
      </w:r>
    </w:p>
    <w:p>
      <w:pPr>
        <w:spacing w:line="720" w:lineRule="exact"/>
        <w:ind w:firstLine="641" w:firstLineChars="200"/>
        <w:rPr>
          <w:rFonts w:hint="eastAsia" w:ascii="华文中宋" w:hAnsi="华文中宋" w:eastAsia="华文中宋" w:cs="Times New Roman"/>
          <w:b/>
          <w:color w:val="auto"/>
          <w:kern w:val="0"/>
          <w:sz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color w:val="auto"/>
          <w:kern w:val="0"/>
          <w:sz w:val="32"/>
          <w:highlight w:val="none"/>
          <w:lang w:val="en-US" w:eastAsia="zh-CN"/>
        </w:rPr>
        <w:t>缴费人：</w:t>
      </w:r>
    </w:p>
    <w:p>
      <w:pPr>
        <w:spacing w:line="720" w:lineRule="exact"/>
        <w:ind w:firstLine="641" w:firstLineChars="200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  <w:r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  <w:lang w:val="en-US" w:eastAsia="zh-CN"/>
        </w:rPr>
        <w:t>用户编号</w:t>
      </w:r>
      <w:r>
        <w:rPr>
          <w:rStyle w:val="34"/>
          <w:rFonts w:hint="eastAsia" w:ascii="华文中宋" w:hAnsi="华文中宋" w:eastAsia="华文中宋"/>
          <w:b/>
          <w:color w:val="auto"/>
          <w:sz w:val="32"/>
          <w:highlight w:val="none"/>
        </w:rPr>
        <w:footnoteReference w:id="0"/>
      </w:r>
      <w:r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  <w:t>：</w:t>
      </w:r>
    </w:p>
    <w:p>
      <w:pPr>
        <w:widowControl/>
        <w:adjustRightInd w:val="0"/>
        <w:snapToGrid w:val="0"/>
        <w:spacing w:line="720" w:lineRule="exact"/>
        <w:ind w:firstLine="200"/>
        <w:rPr>
          <w:rFonts w:hint="eastAsia" w:ascii="华文中宋" w:hAnsi="华文中宋" w:eastAsia="华文中宋"/>
          <w:b/>
          <w:color w:val="auto"/>
          <w:sz w:val="32"/>
          <w:highlight w:val="none"/>
          <w:u w:val="single"/>
        </w:rPr>
      </w:pPr>
      <w:r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  <w:t xml:space="preserve">  </w:t>
      </w:r>
    </w:p>
    <w:p>
      <w:pPr>
        <w:snapToGrid w:val="0"/>
        <w:spacing w:after="156" w:afterLines="50" w:line="720" w:lineRule="exact"/>
        <w:rPr>
          <w:rFonts w:ascii="方正仿宋_GBK" w:hAnsi="宋体" w:eastAsia="方正仿宋_GBK"/>
          <w:b/>
          <w:color w:val="auto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jc w:val="center"/>
        <w:rPr>
          <w:rFonts w:hint="eastAsia" w:ascii="华文中宋" w:hAnsi="华文中宋" w:eastAsia="华文中宋"/>
          <w:b/>
          <w:color w:val="auto"/>
          <w:kern w:val="0"/>
          <w:sz w:val="32"/>
          <w:highlight w:val="none"/>
        </w:rPr>
      </w:pPr>
    </w:p>
    <w:p>
      <w:pPr>
        <w:widowControl/>
        <w:adjustRightInd w:val="0"/>
        <w:snapToGrid w:val="0"/>
        <w:spacing w:line="58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4"/>
          <w:szCs w:val="24"/>
          <w:highlight w:val="none"/>
        </w:rPr>
      </w:pPr>
      <w:r>
        <w:rPr>
          <w:rFonts w:hint="eastAsia" w:ascii="方正小标宋_GBK" w:hAnsi="方正小标宋_GBK" w:eastAsia="方正小标宋_GBK" w:cs="方正小标宋_GBK"/>
          <w:b/>
          <w:color w:val="auto"/>
          <w:kern w:val="0"/>
          <w:sz w:val="44"/>
          <w:szCs w:val="24"/>
          <w:highlight w:val="none"/>
        </w:rPr>
        <w:t>使用说明</w:t>
      </w:r>
    </w:p>
    <w:p>
      <w:pPr>
        <w:snapToGrid w:val="0"/>
        <w:spacing w:line="580" w:lineRule="exact"/>
        <w:ind w:firstLine="640" w:firstLineChars="200"/>
        <w:rPr>
          <w:rFonts w:hint="eastAsia" w:ascii="方正仿宋_GBK" w:hAnsi="宋体" w:eastAsia="方正仿宋_GBK"/>
          <w:color w:val="auto"/>
          <w:sz w:val="32"/>
          <w:highlight w:val="none"/>
        </w:rPr>
      </w:pPr>
    </w:p>
    <w:p>
      <w:pPr>
        <w:snapToGrid w:val="0"/>
        <w:spacing w:line="580" w:lineRule="exact"/>
        <w:ind w:firstLine="640" w:firstLineChars="200"/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  <w:t>1. 本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  <w:t>授权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eastAsia="zh-CN"/>
        </w:rPr>
        <w:t>协议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  <w:t>文本适用于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  <w:t>签署供用电合同的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eastAsia="zh-CN"/>
        </w:rPr>
        <w:t>用电人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  <w:t>授权对应的缴费人直接参与市场交易而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  <w:t>签订的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  <w:t>授权协议。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1"/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zh-CN"/>
        </w:rPr>
      </w:pP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zh-CN"/>
        </w:rPr>
        <w:t>．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en-US" w:eastAsia="zh-CN"/>
        </w:rPr>
        <w:t>本补充协议的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zh-CN"/>
        </w:rPr>
        <w:t>起草严格按照国家法律、法规及相关政策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en-US" w:eastAsia="zh-CN"/>
        </w:rPr>
        <w:t>起草，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  <w:t>对于文本中需当事人填写之处，对方根据实际情况填写。如当事人约定无需填写的</w:t>
      </w:r>
      <w:r>
        <w:rPr>
          <w:rFonts w:hint="eastAsia" w:ascii="方正仿宋_GBK" w:hAnsi="方正仿宋_GBK" w:eastAsia="方正仿宋_GBK" w:cs="方正仿宋_GBK"/>
          <w:color w:val="auto"/>
          <w:kern w:val="0"/>
          <w:sz w:val="32"/>
          <w:szCs w:val="21"/>
          <w:highlight w:val="none"/>
          <w:lang w:val="zh-CN"/>
        </w:rPr>
        <w:t>，则应注明“无”或划“/”。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1"/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21"/>
          <w:highlight w:val="none"/>
        </w:rPr>
        <w:t>. 有关文本的其他使用说明见文本脚注。</w:t>
      </w:r>
    </w:p>
    <w:p>
      <w:pPr>
        <w:autoSpaceDE w:val="0"/>
        <w:autoSpaceDN w:val="0"/>
        <w:adjustRightInd w:val="0"/>
        <w:snapToGrid w:val="0"/>
        <w:spacing w:line="5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rPr>
          <w:rFonts w:hint="default" w:ascii="仿宋" w:hAnsi="仿宋" w:eastAsia="仿宋"/>
          <w:b/>
          <w:bCs/>
          <w:color w:val="auto"/>
          <w:sz w:val="28"/>
          <w:szCs w:val="22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480" w:lineRule="exact"/>
        <w:rPr>
          <w:rFonts w:hint="eastAsia" w:ascii="仿宋" w:hAnsi="仿宋" w:eastAsia="仿宋"/>
          <w:b/>
          <w:bCs/>
          <w:color w:val="auto"/>
          <w:sz w:val="28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autoSpaceDE w:val="0"/>
        <w:autoSpaceDN w:val="0"/>
        <w:adjustRightInd w:val="0"/>
        <w:snapToGrid w:val="0"/>
        <w:spacing w:line="480" w:lineRule="exact"/>
        <w:ind w:firstLine="641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pStyle w:val="24"/>
        <w:tabs>
          <w:tab w:val="right" w:leader="dot" w:pos="8302"/>
          <w:tab w:val="right" w:leader="dot" w:pos="9678"/>
        </w:tabs>
        <w:snapToGrid w:val="0"/>
        <w:spacing w:line="480" w:lineRule="exact"/>
        <w:ind w:right="353"/>
        <w:rPr>
          <w:rStyle w:val="32"/>
          <w:rFonts w:hint="eastAsia" w:ascii="仿宋" w:hAnsi="仿宋" w:eastAsia="仿宋"/>
          <w:snapToGrid w:val="0"/>
          <w:color w:val="auto"/>
          <w:sz w:val="28"/>
          <w:highlight w:val="none"/>
        </w:rPr>
        <w:sectPr>
          <w:headerReference r:id="rId5" w:type="first"/>
          <w:footerReference r:id="rId8" w:type="first"/>
          <w:headerReference r:id="rId4" w:type="default"/>
          <w:footerReference r:id="rId6" w:type="default"/>
          <w:footerReference r:id="rId7" w:type="even"/>
          <w:pgSz w:w="11906" w:h="16838"/>
          <w:pgMar w:top="1440" w:right="1800" w:bottom="1440" w:left="1800" w:header="851" w:footer="992" w:gutter="0"/>
          <w:pgNumType w:fmt="upperRoman" w:start="1"/>
          <w:cols w:space="720" w:num="1"/>
          <w:titlePg/>
          <w:docGrid w:type="lines" w:linePitch="312" w:charSpace="0"/>
        </w:sectPr>
      </w:pP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28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28"/>
          <w:highlight w:val="none"/>
          <w:lang w:val="en-US" w:eastAsia="zh-CN"/>
        </w:rPr>
        <w:t>参与市场化交易用户授权协议</w:t>
      </w:r>
    </w:p>
    <w:p>
      <w:pPr>
        <w:spacing w:line="580" w:lineRule="exact"/>
        <w:ind w:firstLine="641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《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4"/>
          <w:highlight w:val="none"/>
          <w:lang w:val="en-US" w:eastAsia="zh-CN"/>
        </w:rPr>
        <w:t>参与市场化交易用户授权协议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》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（以下简称本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协议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）由下列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双方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签署：</w:t>
      </w:r>
    </w:p>
    <w:p>
      <w:pPr>
        <w:numPr>
          <w:ilvl w:val="0"/>
          <w:numId w:val="0"/>
        </w:numPr>
        <w:tabs>
          <w:tab w:val="left" w:pos="0"/>
        </w:tabs>
        <w:spacing w:line="580" w:lineRule="exact"/>
        <w:ind w:leftChars="0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none"/>
          <w:lang w:val="en-US" w:eastAsia="zh-CN"/>
        </w:rPr>
        <w:t>（1）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single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（以下简称用电人），系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与国网北京市电力公司签署的供用电合同上的单位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。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住所地：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法定代表人：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统一社会信用代码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：</w:t>
      </w:r>
    </w:p>
    <w:p>
      <w:pPr>
        <w:numPr>
          <w:ilvl w:val="0"/>
          <w:numId w:val="0"/>
        </w:numPr>
        <w:tabs>
          <w:tab w:val="left" w:pos="0"/>
        </w:tabs>
        <w:spacing w:line="580" w:lineRule="exact"/>
        <w:ind w:leftChars="0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none"/>
          <w:lang w:val="en-US" w:eastAsia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u w:val="single"/>
        </w:rPr>
        <w:t xml:space="preserve">            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（以下简称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缴费人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），系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为用电人相关用户编号实际经营并缴费的单位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。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住所地：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 xml:space="preserve">法定代表人： 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统一社会信用代码：</w:t>
      </w: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</w:p>
    <w:p>
      <w:pPr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</w:p>
    <w:p>
      <w:pPr>
        <w:snapToGrid w:val="0"/>
        <w:spacing w:after="312" w:afterLines="100" w:line="580" w:lineRule="exact"/>
        <w:ind w:firstLine="560" w:firstLineChars="200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为明确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用电人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缴费人在北京地区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电力市场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交易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过程中的权利和义务，经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eastAsia="zh-CN"/>
        </w:rPr>
        <w:t>双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方协商一致，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针对电力用户注册事项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订立本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  <w:lang w:val="en-US" w:eastAsia="zh-CN"/>
        </w:rPr>
        <w:t>授权协议</w:t>
      </w: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。</w:t>
      </w:r>
      <w:bookmarkStart w:id="0" w:name="_Toc252973816"/>
      <w:bookmarkStart w:id="1" w:name="_Toc25216"/>
      <w:bookmarkStart w:id="2" w:name="_Toc252599737"/>
    </w:p>
    <w:p>
      <w:pPr>
        <w:pStyle w:val="2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pStyle w:val="3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pStyle w:val="2"/>
        <w:rPr>
          <w:rFonts w:hint="eastAsia"/>
          <w:color w:val="auto"/>
        </w:rPr>
      </w:pPr>
    </w:p>
    <w:p>
      <w:pPr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pStyle w:val="2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pStyle w:val="3"/>
        <w:rPr>
          <w:rFonts w:hint="eastAsia"/>
          <w:color w:val="auto"/>
        </w:rPr>
      </w:pPr>
    </w:p>
    <w:bookmarkEnd w:id="0"/>
    <w:bookmarkEnd w:id="1"/>
    <w:bookmarkEnd w:id="2"/>
    <w:p>
      <w:pPr>
        <w:numPr>
          <w:ilvl w:val="0"/>
          <w:numId w:val="1"/>
        </w:numPr>
        <w:snapToGrid w:val="0"/>
        <w:spacing w:after="312" w:afterLines="100" w:line="580" w:lineRule="exact"/>
        <w:ind w:firstLine="560" w:firstLineChars="200"/>
        <w:rPr>
          <w:rFonts w:hint="eastAsia" w:ascii="黑体" w:eastAsia="黑体"/>
          <w:b w:val="0"/>
          <w:bCs/>
          <w:color w:val="auto"/>
          <w:sz w:val="28"/>
          <w:highlight w:val="none"/>
        </w:rPr>
      </w:pPr>
      <w:r>
        <w:rPr>
          <w:rFonts w:hint="eastAsia" w:ascii="黑体" w:eastAsia="黑体"/>
          <w:b w:val="0"/>
          <w:bCs/>
          <w:color w:val="auto"/>
          <w:sz w:val="28"/>
          <w:highlight w:val="none"/>
          <w:lang w:val="en-US" w:eastAsia="zh-CN"/>
        </w:rPr>
        <w:t>授权关系</w:t>
      </w:r>
    </w:p>
    <w:p>
      <w:pPr>
        <w:pStyle w:val="12"/>
        <w:widowControl/>
        <w:wordWrap w:val="0"/>
        <w:snapToGrid w:val="0"/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bookmarkStart w:id="3" w:name="_Toc4963"/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1.1授权范围</w:t>
      </w:r>
    </w:p>
    <w:p>
      <w:pPr>
        <w:pStyle w:val="12"/>
        <w:widowControl/>
        <w:wordWrap w:val="0"/>
        <w:snapToGrid w:val="0"/>
        <w:spacing w:afterLines="0"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1.1.1</w:t>
      </w:r>
      <w:r>
        <w:rPr>
          <w:rFonts w:hint="eastAsia" w:ascii="仿宋" w:hAnsi="仿宋" w:eastAsia="仿宋"/>
          <w:color w:val="auto"/>
          <w:kern w:val="2"/>
          <w:sz w:val="28"/>
          <w:szCs w:val="22"/>
          <w:highlight w:val="none"/>
          <w:lang w:val="en-US" w:eastAsia="zh-CN" w:bidi="ar-SA"/>
        </w:rPr>
        <w:t>用电人授权缴费人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针对以下用户编号________________________________________________________________（含户号下全部工商业计量点）前往首都电力交易中心进行电力用户注册并开展电力交易业务（视同用电人直接入市）。</w:t>
      </w:r>
    </w:p>
    <w:p>
      <w:pPr>
        <w:pStyle w:val="12"/>
        <w:widowControl/>
        <w:wordWrap w:val="0"/>
        <w:snapToGrid w:val="0"/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1.1.2</w:t>
      </w:r>
      <w:r>
        <w:rPr>
          <w:rFonts w:hint="eastAsia" w:ascii="仿宋" w:hAnsi="仿宋" w:eastAsia="仿宋"/>
          <w:color w:val="auto"/>
          <w:kern w:val="2"/>
          <w:sz w:val="28"/>
          <w:szCs w:val="22"/>
          <w:highlight w:val="none"/>
          <w:lang w:val="en-US" w:eastAsia="zh-CN" w:bidi="ar-SA"/>
        </w:rPr>
        <w:t>用电人授权缴费人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与国网北京市电力公司签署《市场化用户电费结算补充协议》。</w:t>
      </w:r>
    </w:p>
    <w:p>
      <w:pPr>
        <w:pStyle w:val="12"/>
        <w:widowControl/>
        <w:wordWrap w:val="0"/>
        <w:snapToGrid w:val="0"/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2"/>
          <w:highlight w:val="none"/>
          <w:lang w:val="en-US" w:eastAsia="zh-CN" w:bidi="ar-SA"/>
        </w:rPr>
        <w:t>1.2缴费人经授权并在首都电力交易平台注册生效后，视同用电人一并入市。</w:t>
      </w:r>
    </w:p>
    <w:p>
      <w:pPr>
        <w:pStyle w:val="12"/>
        <w:widowControl/>
        <w:wordWrap w:val="0"/>
        <w:snapToGrid w:val="0"/>
        <w:spacing w:line="580" w:lineRule="exact"/>
        <w:ind w:firstLine="560" w:firstLineChars="200"/>
        <w:jc w:val="left"/>
        <w:rPr>
          <w:rFonts w:hint="default" w:ascii="仿宋" w:hAnsi="仿宋" w:eastAsia="仿宋"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bookmarkEnd w:id="3"/>
    <w:p>
      <w:pPr>
        <w:numPr>
          <w:ilvl w:val="0"/>
          <w:numId w:val="1"/>
        </w:numPr>
        <w:snapToGrid w:val="0"/>
        <w:spacing w:after="312" w:afterLines="100" w:line="580" w:lineRule="exact"/>
        <w:ind w:firstLine="560" w:firstLineChars="200"/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  <w:t>各方权利与义务</w:t>
      </w:r>
    </w:p>
    <w:p>
      <w:pPr>
        <w:pStyle w:val="46"/>
        <w:spacing w:line="580" w:lineRule="exac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2.1用电人有权在相关租赁关系结束或经法院（仲裁机构）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生效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判决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确认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终止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/解除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后，终止对缴费人全部或部分用户编号的授权。</w:t>
      </w:r>
    </w:p>
    <w:p>
      <w:pPr>
        <w:pStyle w:val="46"/>
        <w:spacing w:line="580" w:lineRule="exac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2.2用电人可在终止授权后，向交易中心申请注销相关户号并重新进行注册开展市场化交易。</w:t>
      </w:r>
    </w:p>
    <w:p>
      <w:pPr>
        <w:pStyle w:val="12"/>
        <w:widowControl/>
        <w:wordWrap w:val="0"/>
        <w:snapToGrid w:val="0"/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bookmarkStart w:id="4" w:name="_Toc6622"/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2.3缴费人如不再用电，应及时前往交易中心办理相关户号删减，并与用电人做好沟通工作，妥善解决所涉及用户编号的相关交易合同，配合用电人做好户号转让、缴费人变更等相关工作。</w:t>
      </w:r>
    </w:p>
    <w:bookmarkEnd w:id="4"/>
    <w:p>
      <w:pPr>
        <w:numPr>
          <w:ilvl w:val="0"/>
          <w:numId w:val="1"/>
        </w:numPr>
        <w:snapToGrid w:val="0"/>
        <w:spacing w:after="312" w:afterLines="100" w:line="580" w:lineRule="exact"/>
        <w:ind w:firstLine="562" w:firstLineChars="200"/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黑体" w:eastAsia="黑体"/>
          <w:b/>
          <w:color w:val="auto"/>
          <w:sz w:val="28"/>
          <w:szCs w:val="22"/>
          <w:highlight w:val="none"/>
          <w:lang w:val="en-US" w:eastAsia="zh-CN"/>
        </w:rPr>
        <w:br w:type="page"/>
      </w:r>
      <w:r>
        <w:rPr>
          <w:rFonts w:hint="eastAsia" w:ascii="黑体" w:eastAsia="黑体"/>
          <w:b/>
          <w:color w:val="auto"/>
          <w:sz w:val="28"/>
          <w:szCs w:val="22"/>
          <w:highlight w:val="none"/>
          <w:lang w:val="en-US" w:eastAsia="zh-CN"/>
        </w:rPr>
        <w:t>授权</w:t>
      </w:r>
      <w:r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  <w:t>终止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以下情形相关用户编号的授权关系终止：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3.1.1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双方协商一致，终止本协议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；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3.1.2</w:t>
      </w:r>
      <w:r>
        <w:rPr>
          <w:rFonts w:hint="eastAsia" w:cs="方正仿宋_GBK"/>
          <w:b w:val="0"/>
          <w:bCs w:val="0"/>
          <w:color w:val="auto"/>
          <w:sz w:val="28"/>
          <w:szCs w:val="22"/>
          <w:highlight w:val="none"/>
          <w:lang w:val="en-US" w:eastAsia="zh-CN"/>
        </w:rPr>
        <w:t>双方协商一致，解除或终止相关的租赁关系等基础法律关系的；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3.1.3法院（仲裁机构）生效裁决确认，缴费人相关用户编号对应的租赁关系等基础法律关系解除或终止的；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3.1.4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用电人或缴费人破产或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主体资格丧失的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；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left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3.1.5用电人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授权的全部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或部分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用户编号不再用电或不满足市场化注册要求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的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。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.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2授权终止后，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相关用户编号将不再满足用户持续注册条件，交易中心有权对其进行失效处理。</w:t>
      </w:r>
    </w:p>
    <w:p>
      <w:pPr>
        <w:numPr>
          <w:ilvl w:val="0"/>
          <w:numId w:val="1"/>
        </w:numPr>
        <w:snapToGrid w:val="0"/>
        <w:spacing w:after="312" w:afterLines="100" w:line="580" w:lineRule="exact"/>
        <w:ind w:firstLine="560" w:firstLineChars="200"/>
        <w:rPr>
          <w:rFonts w:hint="eastAsia" w:ascii="黑体" w:hAnsi="Times New Roman" w:eastAsia="黑体" w:cs="Times New Roman"/>
          <w:b w:val="0"/>
          <w:bCs/>
          <w:color w:val="auto"/>
          <w:sz w:val="28"/>
          <w:szCs w:val="22"/>
          <w:highlight w:val="none"/>
          <w:lang w:val="en-US" w:eastAsia="zh-CN"/>
        </w:rPr>
      </w:pPr>
      <w:r>
        <w:rPr>
          <w:rFonts w:hint="eastAsia" w:ascii="黑体" w:hAnsi="Times New Roman" w:eastAsia="黑体" w:cs="Times New Roman"/>
          <w:b w:val="0"/>
          <w:bCs/>
          <w:color w:val="auto"/>
          <w:sz w:val="28"/>
          <w:szCs w:val="22"/>
          <w:highlight w:val="none"/>
          <w:lang w:val="en-US" w:eastAsia="zh-CN"/>
        </w:rPr>
        <w:t>协议效力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2" w:afterLines="100" w:line="580" w:lineRule="exact"/>
        <w:ind w:firstLine="560" w:firstLineChars="200"/>
        <w:textAlignment w:val="auto"/>
        <w:outlineLvl w:val="9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本协议经双方签署并加盖公章或合同专用章后成立。协议不设置有效期，双方均未提出书面异议的，继续履行，重复续展。</w:t>
      </w: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3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2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3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napToGrid w:val="0"/>
        <w:spacing w:after="312" w:afterLines="100" w:line="580" w:lineRule="exact"/>
        <w:ind w:firstLine="560" w:firstLineChars="200"/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</w:pPr>
      <w:bookmarkStart w:id="5" w:name="_Toc15164"/>
      <w:r>
        <w:rPr>
          <w:rFonts w:hint="eastAsia" w:ascii="黑体" w:eastAsia="黑体"/>
          <w:b w:val="0"/>
          <w:bCs/>
          <w:color w:val="auto"/>
          <w:sz w:val="28"/>
          <w:szCs w:val="22"/>
          <w:highlight w:val="none"/>
          <w:lang w:val="en-US" w:eastAsia="zh-CN"/>
        </w:rPr>
        <w:t>其他</w:t>
      </w:r>
      <w:bookmarkEnd w:id="5"/>
      <w:bookmarkStart w:id="6" w:name="_GoBack"/>
      <w:bookmarkEnd w:id="6"/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5.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1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本协议一式4份，具有同等法律效力。用电人持1份，缴费人持1份，缴费人开展注册业务时，需提交1份原件至首都电力交易中心备案。与国网北京市电力公司签署《市场化用户电费结算补充协议》时，提交1份原件至电力公司备案。</w:t>
      </w:r>
    </w:p>
    <w:p>
      <w:pPr>
        <w:pStyle w:val="46"/>
        <w:numPr>
          <w:ilvl w:val="0"/>
          <w:numId w:val="0"/>
        </w:numPr>
        <w:spacing w:line="580" w:lineRule="exact"/>
        <w:ind w:firstLine="560" w:firstLineChars="200"/>
        <w:jc w:val="both"/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5.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2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因授权产生的各类纠纷，由用电人和缴</w:t>
      </w:r>
      <w:r>
        <w:rPr>
          <w:rFonts w:hint="eastAsia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费</w:t>
      </w:r>
      <w:r>
        <w:rPr>
          <w:rFonts w:hint="eastAsia" w:ascii="方正仿宋_GBK" w:hAnsi="方正仿宋_GBK" w:eastAsia="方正仿宋_GBK" w:cs="方正仿宋_GBK"/>
          <w:b w:val="0"/>
          <w:bCs/>
          <w:color w:val="auto"/>
          <w:kern w:val="2"/>
          <w:sz w:val="28"/>
          <w:szCs w:val="22"/>
          <w:highlight w:val="none"/>
          <w:lang w:val="en-US" w:eastAsia="zh-CN" w:bidi="ar-SA"/>
        </w:rPr>
        <w:t>人自行协商解决，协商不成，双方均有权依法诉讼。</w:t>
      </w:r>
    </w:p>
    <w:p>
      <w:pPr>
        <w:snapToGrid w:val="0"/>
        <w:spacing w:line="580" w:lineRule="exact"/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highlight w:val="none"/>
        </w:rPr>
        <w:t>（以下无正文）</w:t>
      </w:r>
    </w:p>
    <w:p>
      <w:pPr>
        <w:snapToGrid w:val="0"/>
        <w:spacing w:line="480" w:lineRule="exact"/>
        <w:jc w:val="center"/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22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br w:type="page"/>
      </w:r>
      <w:r>
        <w:rPr>
          <w:rFonts w:hint="eastAsia" w:ascii="方正小标宋_GBK" w:hAnsi="方正小标宋_GBK" w:eastAsia="方正小标宋_GBK" w:cs="方正小标宋_GBK"/>
          <w:b/>
          <w:color w:val="auto"/>
          <w:sz w:val="40"/>
          <w:szCs w:val="22"/>
          <w:highlight w:val="none"/>
        </w:rPr>
        <w:t>签署页</w:t>
      </w:r>
    </w:p>
    <w:p>
      <w:pPr>
        <w:snapToGrid w:val="0"/>
        <w:spacing w:line="480" w:lineRule="exact"/>
        <w:rPr>
          <w:rFonts w:hint="eastAsia" w:ascii="FangSong_GB2312" w:hAnsi="宋体" w:eastAsia="FangSong_GB2312"/>
          <w:color w:val="auto"/>
          <w:sz w:val="28"/>
          <w:highlight w:val="none"/>
        </w:rPr>
      </w:pPr>
    </w:p>
    <w:tbl>
      <w:tblPr>
        <w:tblStyle w:val="29"/>
        <w:tblW w:w="8239" w:type="dxa"/>
        <w:tblInd w:w="4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4"/>
        <w:gridCol w:w="40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  <w:lang w:val="en-US" w:eastAsia="zh-CN"/>
              </w:rPr>
              <w:t>用电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 xml:space="preserve">人： </w:t>
            </w:r>
          </w:p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（盖章）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  <w:lang w:val="en-US" w:eastAsia="zh-CN"/>
              </w:rPr>
              <w:t>缴费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人：</w:t>
            </w:r>
          </w:p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 xml:space="preserve">（盖章）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法定代表人（负责人）或</w:t>
            </w:r>
          </w:p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授权代表（签字）：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法定代表人（负责人）或</w:t>
            </w:r>
          </w:p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授权代表（签字）：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签订日期：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签订日期：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地址：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地址：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邮编：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邮编：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联系人：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联系人：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电话：</w:t>
            </w: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720" w:lineRule="auto"/>
              <w:rPr>
                <w:rFonts w:hint="eastAsia" w:ascii="方正仿宋_GBK" w:hAnsi="方正仿宋_GBK" w:eastAsia="方正仿宋_GBK" w:cs="方正仿宋_GBK"/>
                <w:color w:val="auto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highlight w:val="none"/>
              </w:rPr>
              <w:t>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</w:rPr>
            </w:pP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</w:rPr>
            </w:pP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</w:rPr>
            </w:pP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</w:rPr>
            </w:pP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color w:val="auto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</w:trPr>
        <w:tc>
          <w:tcPr>
            <w:tcW w:w="4184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  <w:tc>
          <w:tcPr>
            <w:tcW w:w="4055" w:type="dxa"/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仿宋" w:hAnsi="仿宋" w:eastAsia="仿宋"/>
                <w:color w:val="auto"/>
                <w:sz w:val="28"/>
                <w:highlight w:val="none"/>
              </w:rPr>
            </w:pPr>
          </w:p>
        </w:tc>
      </w:tr>
    </w:tbl>
    <w:p>
      <w:pPr>
        <w:snapToGrid w:val="0"/>
        <w:spacing w:line="480" w:lineRule="exact"/>
        <w:rPr>
          <w:rFonts w:hint="eastAsia" w:ascii="仿宋" w:hAnsi="仿宋" w:eastAsia="仿宋"/>
          <w:color w:val="auto"/>
          <w:sz w:val="28"/>
          <w:highlight w:val="none"/>
        </w:rPr>
      </w:pPr>
    </w:p>
    <w:p>
      <w:pPr>
        <w:snapToGrid w:val="0"/>
        <w:spacing w:line="480" w:lineRule="exact"/>
        <w:rPr>
          <w:rFonts w:hint="eastAsia" w:ascii="仿宋" w:hAnsi="仿宋" w:eastAsia="仿宋"/>
          <w:color w:val="auto"/>
          <w:sz w:val="28"/>
          <w:highlight w:val="none"/>
        </w:rPr>
      </w:pPr>
    </w:p>
    <w:sectPr>
      <w:footerReference r:id="rId9" w:type="default"/>
      <w:footnotePr>
        <w:numFmt w:val="decimal"/>
      </w:footnotePr>
      <w:pgSz w:w="11906" w:h="16838"/>
      <w:pgMar w:top="1440" w:right="1706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415100-EA1A-4ACA-912C-6A3B68F283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EC4C96-0164-4B01-B213-4A5EDD9DC8B4}"/>
  </w:font>
  <w:font w:name="Times New Roman PSMT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8B196FF-3C7B-453F-9985-F26DEA06C8C9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1DDC41E-C472-462C-827D-80584A0208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A5D64C2-FEED-4661-B0FE-646D10BD2006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6" w:fontKey="{5B4BD598-5B18-4163-AD0C-523E51705A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hint="eastAsia" w:ascii="方正仿宋_GBK" w:eastAsia="方正仿宋_GBK"/>
        <w:sz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framePr w:wrap="around" w:vAnchor="text" w:hAnchor="margin" w:xAlign="center" w:y="1"/>
      <w:rPr>
        <w:rStyle w:val="31"/>
      </w:rPr>
    </w:pPr>
    <w:r>
      <w:fldChar w:fldCharType="begin"/>
    </w:r>
    <w:r>
      <w:rPr>
        <w:rStyle w:val="31"/>
      </w:rPr>
      <w:instrText xml:space="preserve">PAGE  </w:instrText>
    </w:r>
    <w:r>
      <w:fldChar w:fldCharType="separate"/>
    </w:r>
    <w:r>
      <w:rPr>
        <w:rStyle w:val="31"/>
      </w:rPr>
      <w:t>1</w:t>
    </w:r>
    <w:r>
      <w:fldChar w:fldCharType="end"/>
    </w:r>
  </w:p>
  <w:p>
    <w:pPr>
      <w:pStyle w:val="1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</w:p>
  <w:p>
    <w:pPr>
      <w:pStyle w:val="17"/>
      <w:jc w:val="center"/>
      <w:rPr>
        <w:rFonts w:hint="eastAsia" w:ascii="方正仿宋_GBK" w:eastAsia="方正仿宋_GBK"/>
        <w:sz w:val="21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>
    <w:pPr>
      <w:pStyle w:val="17"/>
      <w:jc w:val="center"/>
      <w:rPr>
        <w:rFonts w:ascii="方正仿宋_GBK" w:eastAsia="方正仿宋_GBK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1"/>
        <w:rPr>
          <w:rFonts w:hint="eastAsia" w:ascii="宋体" w:hAnsi="宋体"/>
        </w:rPr>
      </w:pPr>
      <w:r>
        <w:rPr>
          <w:rStyle w:val="34"/>
          <w:rFonts w:hint="eastAsia" w:ascii="宋体" w:hAnsi="宋体"/>
        </w:rPr>
        <w:footnoteRef/>
      </w:r>
      <w:r>
        <w:rPr>
          <w:rFonts w:hint="eastAsia"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可独立填写也可综合填写全部用户编号</w:t>
      </w:r>
      <w:r>
        <w:rPr>
          <w:rFonts w:hint="eastAsia" w:ascii="宋体" w:hAnsi="宋体"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jc w:val="right"/>
      <w:rPr>
        <w:rFonts w:hint="eastAsia"/>
      </w:rPr>
    </w:pPr>
    <w:r>
      <w:rPr>
        <w:rFonts w:hint="eastAsia"/>
        <w:sz w:val="21"/>
        <w:lang w:val="en-US" w:eastAsia="zh-CN"/>
      </w:rPr>
      <w:t>参与市场化交易用户授权协议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none" w:color="auto" w:sz="0" w:space="0"/>
      </w:pBdr>
      <w:jc w:val="right"/>
      <w:rPr>
        <w:rFonts w:hint="eastAsia"/>
        <w:sz w:val="21"/>
        <w:lang w:val="en-US" w:eastAsia="zh-CN"/>
      </w:rPr>
    </w:pPr>
    <w:r>
      <w:rPr>
        <w:rFonts w:hint="eastAsia"/>
        <w:sz w:val="21"/>
        <w:lang w:val="en-US" w:eastAsia="zh-CN"/>
      </w:rPr>
      <w:t>参与市场化交易用户授权协议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A99E70"/>
    <w:multiLevelType w:val="singleLevel"/>
    <w:tmpl w:val="82A99E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2"/>
    <w:footnote w:id="3"/>
  </w:foot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6D5B"/>
    <w:rsid w:val="00391801"/>
    <w:rsid w:val="003A0799"/>
    <w:rsid w:val="00A40EDE"/>
    <w:rsid w:val="00A71AE4"/>
    <w:rsid w:val="01525F7E"/>
    <w:rsid w:val="02101B93"/>
    <w:rsid w:val="023301A5"/>
    <w:rsid w:val="023B4613"/>
    <w:rsid w:val="02604222"/>
    <w:rsid w:val="02941CD8"/>
    <w:rsid w:val="03432EDD"/>
    <w:rsid w:val="035A4CBB"/>
    <w:rsid w:val="035E5E3E"/>
    <w:rsid w:val="04D15CAC"/>
    <w:rsid w:val="05690E8A"/>
    <w:rsid w:val="058F59C5"/>
    <w:rsid w:val="0599481C"/>
    <w:rsid w:val="059B082B"/>
    <w:rsid w:val="05D252BA"/>
    <w:rsid w:val="06D24345"/>
    <w:rsid w:val="07332DCE"/>
    <w:rsid w:val="0767650A"/>
    <w:rsid w:val="07961279"/>
    <w:rsid w:val="084E693D"/>
    <w:rsid w:val="08B448D0"/>
    <w:rsid w:val="08B85E95"/>
    <w:rsid w:val="09182CDC"/>
    <w:rsid w:val="09D400E9"/>
    <w:rsid w:val="0A340047"/>
    <w:rsid w:val="0A441912"/>
    <w:rsid w:val="0A734190"/>
    <w:rsid w:val="0A944E80"/>
    <w:rsid w:val="0A9F44EF"/>
    <w:rsid w:val="0AC446D2"/>
    <w:rsid w:val="0B765ADD"/>
    <w:rsid w:val="0BA47B88"/>
    <w:rsid w:val="0BD7594A"/>
    <w:rsid w:val="0BE04451"/>
    <w:rsid w:val="0C5719C2"/>
    <w:rsid w:val="0D2F5396"/>
    <w:rsid w:val="0D3B4227"/>
    <w:rsid w:val="0D466C76"/>
    <w:rsid w:val="0D774ED0"/>
    <w:rsid w:val="0D870DCC"/>
    <w:rsid w:val="0DF921C9"/>
    <w:rsid w:val="0E310F31"/>
    <w:rsid w:val="0ED34DC1"/>
    <w:rsid w:val="0F1A1270"/>
    <w:rsid w:val="0F7C57A6"/>
    <w:rsid w:val="0FB351CA"/>
    <w:rsid w:val="0FC25ED7"/>
    <w:rsid w:val="0FFC5BE6"/>
    <w:rsid w:val="101D6CB7"/>
    <w:rsid w:val="10B609CA"/>
    <w:rsid w:val="111B11C2"/>
    <w:rsid w:val="113A550E"/>
    <w:rsid w:val="11506D12"/>
    <w:rsid w:val="11CD2A44"/>
    <w:rsid w:val="12A362EA"/>
    <w:rsid w:val="12E30F42"/>
    <w:rsid w:val="12EF189D"/>
    <w:rsid w:val="131D206F"/>
    <w:rsid w:val="1334416A"/>
    <w:rsid w:val="139D2036"/>
    <w:rsid w:val="14450B93"/>
    <w:rsid w:val="14485AC0"/>
    <w:rsid w:val="146A59F7"/>
    <w:rsid w:val="148E778D"/>
    <w:rsid w:val="14B63811"/>
    <w:rsid w:val="1577225C"/>
    <w:rsid w:val="15AE22B0"/>
    <w:rsid w:val="15C97849"/>
    <w:rsid w:val="15F903E1"/>
    <w:rsid w:val="16194A66"/>
    <w:rsid w:val="16195152"/>
    <w:rsid w:val="16591C5A"/>
    <w:rsid w:val="166254EA"/>
    <w:rsid w:val="16645EB7"/>
    <w:rsid w:val="16A963AB"/>
    <w:rsid w:val="16DB427B"/>
    <w:rsid w:val="171144E4"/>
    <w:rsid w:val="1735381D"/>
    <w:rsid w:val="18311F6C"/>
    <w:rsid w:val="18595368"/>
    <w:rsid w:val="18FD3044"/>
    <w:rsid w:val="19807F41"/>
    <w:rsid w:val="19855788"/>
    <w:rsid w:val="19A56FCD"/>
    <w:rsid w:val="19FF331A"/>
    <w:rsid w:val="1A32262D"/>
    <w:rsid w:val="1A373E65"/>
    <w:rsid w:val="1AA17035"/>
    <w:rsid w:val="1ACA0EE5"/>
    <w:rsid w:val="1B3B27BC"/>
    <w:rsid w:val="1B5C2C67"/>
    <w:rsid w:val="1B5D1B82"/>
    <w:rsid w:val="1C941E3C"/>
    <w:rsid w:val="1CF44283"/>
    <w:rsid w:val="1D55620A"/>
    <w:rsid w:val="1DA3413A"/>
    <w:rsid w:val="1DF621AC"/>
    <w:rsid w:val="1E1F3155"/>
    <w:rsid w:val="1E3C172B"/>
    <w:rsid w:val="1E6A1C8F"/>
    <w:rsid w:val="1E981A0A"/>
    <w:rsid w:val="1EEE5F13"/>
    <w:rsid w:val="1F256859"/>
    <w:rsid w:val="1F5B64D0"/>
    <w:rsid w:val="1F854B2D"/>
    <w:rsid w:val="1FA36682"/>
    <w:rsid w:val="1FFE3F8E"/>
    <w:rsid w:val="201064E3"/>
    <w:rsid w:val="20232CE1"/>
    <w:rsid w:val="20531BF1"/>
    <w:rsid w:val="20722E66"/>
    <w:rsid w:val="2073475B"/>
    <w:rsid w:val="20A078D4"/>
    <w:rsid w:val="20DB351C"/>
    <w:rsid w:val="21356320"/>
    <w:rsid w:val="214C120D"/>
    <w:rsid w:val="215F790A"/>
    <w:rsid w:val="21C36E87"/>
    <w:rsid w:val="21CB7050"/>
    <w:rsid w:val="21DB60E3"/>
    <w:rsid w:val="221738BC"/>
    <w:rsid w:val="22F70244"/>
    <w:rsid w:val="22FC6ED1"/>
    <w:rsid w:val="23060B91"/>
    <w:rsid w:val="230E0855"/>
    <w:rsid w:val="23BE2C0A"/>
    <w:rsid w:val="23F421A3"/>
    <w:rsid w:val="2413500B"/>
    <w:rsid w:val="258C1F9F"/>
    <w:rsid w:val="25C8226E"/>
    <w:rsid w:val="26701277"/>
    <w:rsid w:val="26736D75"/>
    <w:rsid w:val="267E1FA1"/>
    <w:rsid w:val="26AB7C27"/>
    <w:rsid w:val="27357B28"/>
    <w:rsid w:val="282374E1"/>
    <w:rsid w:val="28595151"/>
    <w:rsid w:val="287F7C76"/>
    <w:rsid w:val="2880207D"/>
    <w:rsid w:val="2893582A"/>
    <w:rsid w:val="28E60CA6"/>
    <w:rsid w:val="29F167A5"/>
    <w:rsid w:val="2A0055AE"/>
    <w:rsid w:val="2AD2622E"/>
    <w:rsid w:val="2B0975B6"/>
    <w:rsid w:val="2B143884"/>
    <w:rsid w:val="2B9E6C42"/>
    <w:rsid w:val="2BA96DBD"/>
    <w:rsid w:val="2C254CD1"/>
    <w:rsid w:val="2C360CE3"/>
    <w:rsid w:val="2C437B27"/>
    <w:rsid w:val="2D5E388B"/>
    <w:rsid w:val="2DDB01BE"/>
    <w:rsid w:val="2DF67641"/>
    <w:rsid w:val="2E065E46"/>
    <w:rsid w:val="2E165622"/>
    <w:rsid w:val="2E2E6CF4"/>
    <w:rsid w:val="2E675DAF"/>
    <w:rsid w:val="2EF4360B"/>
    <w:rsid w:val="2F295936"/>
    <w:rsid w:val="2F3E77CF"/>
    <w:rsid w:val="2F6B6E31"/>
    <w:rsid w:val="304B1E7E"/>
    <w:rsid w:val="31B80D05"/>
    <w:rsid w:val="31B90EE8"/>
    <w:rsid w:val="31BA61CF"/>
    <w:rsid w:val="321A5707"/>
    <w:rsid w:val="3222433B"/>
    <w:rsid w:val="322C61D8"/>
    <w:rsid w:val="325B7A86"/>
    <w:rsid w:val="32AC6A22"/>
    <w:rsid w:val="32AF5FF4"/>
    <w:rsid w:val="32D05A05"/>
    <w:rsid w:val="32D44FD6"/>
    <w:rsid w:val="3430289C"/>
    <w:rsid w:val="347F7C7E"/>
    <w:rsid w:val="351C1FA6"/>
    <w:rsid w:val="353B62C6"/>
    <w:rsid w:val="35C43870"/>
    <w:rsid w:val="35EA30AC"/>
    <w:rsid w:val="36137470"/>
    <w:rsid w:val="366B51FA"/>
    <w:rsid w:val="37F97FAC"/>
    <w:rsid w:val="380141FD"/>
    <w:rsid w:val="38071366"/>
    <w:rsid w:val="38192F19"/>
    <w:rsid w:val="397C27B1"/>
    <w:rsid w:val="3A9F573C"/>
    <w:rsid w:val="3AE31438"/>
    <w:rsid w:val="3B297978"/>
    <w:rsid w:val="3B764D98"/>
    <w:rsid w:val="3BA128B8"/>
    <w:rsid w:val="3BAB0190"/>
    <w:rsid w:val="3BC83358"/>
    <w:rsid w:val="3C314E1F"/>
    <w:rsid w:val="3C770A5D"/>
    <w:rsid w:val="3CD40EE1"/>
    <w:rsid w:val="3D185E60"/>
    <w:rsid w:val="3D70119F"/>
    <w:rsid w:val="3D950520"/>
    <w:rsid w:val="3E3D53F3"/>
    <w:rsid w:val="3E410618"/>
    <w:rsid w:val="3E71404E"/>
    <w:rsid w:val="3EFB15ED"/>
    <w:rsid w:val="3F4F7850"/>
    <w:rsid w:val="40F00582"/>
    <w:rsid w:val="410C0E09"/>
    <w:rsid w:val="412C0C56"/>
    <w:rsid w:val="414620E4"/>
    <w:rsid w:val="41960878"/>
    <w:rsid w:val="41D73D88"/>
    <w:rsid w:val="42027D69"/>
    <w:rsid w:val="42210E8B"/>
    <w:rsid w:val="42684F7F"/>
    <w:rsid w:val="42B13D49"/>
    <w:rsid w:val="42C23D99"/>
    <w:rsid w:val="42CD5525"/>
    <w:rsid w:val="4300241A"/>
    <w:rsid w:val="430C387C"/>
    <w:rsid w:val="432826BD"/>
    <w:rsid w:val="43384185"/>
    <w:rsid w:val="43CA2D7B"/>
    <w:rsid w:val="43CE26B4"/>
    <w:rsid w:val="43E1264C"/>
    <w:rsid w:val="44167932"/>
    <w:rsid w:val="441968E5"/>
    <w:rsid w:val="444A08E1"/>
    <w:rsid w:val="445D5115"/>
    <w:rsid w:val="447D2B0E"/>
    <w:rsid w:val="44D07A56"/>
    <w:rsid w:val="450445C9"/>
    <w:rsid w:val="452B0032"/>
    <w:rsid w:val="454D528B"/>
    <w:rsid w:val="455B7DA9"/>
    <w:rsid w:val="456E5768"/>
    <w:rsid w:val="46B82D1C"/>
    <w:rsid w:val="475F6921"/>
    <w:rsid w:val="47621CFF"/>
    <w:rsid w:val="477D23B2"/>
    <w:rsid w:val="47840BB4"/>
    <w:rsid w:val="478907D7"/>
    <w:rsid w:val="487B0D15"/>
    <w:rsid w:val="48A23FD2"/>
    <w:rsid w:val="49083980"/>
    <w:rsid w:val="49394875"/>
    <w:rsid w:val="49863468"/>
    <w:rsid w:val="49E67349"/>
    <w:rsid w:val="4A3119CE"/>
    <w:rsid w:val="4A622AE8"/>
    <w:rsid w:val="4A7E3781"/>
    <w:rsid w:val="4AA24445"/>
    <w:rsid w:val="4AB9239F"/>
    <w:rsid w:val="4ABA5EA2"/>
    <w:rsid w:val="4B1D4DB7"/>
    <w:rsid w:val="4B65104A"/>
    <w:rsid w:val="4B6F044E"/>
    <w:rsid w:val="4BA04C4A"/>
    <w:rsid w:val="4BDF2230"/>
    <w:rsid w:val="4CB025CE"/>
    <w:rsid w:val="4CC60326"/>
    <w:rsid w:val="4D3F54D0"/>
    <w:rsid w:val="4DC815BF"/>
    <w:rsid w:val="4E261DF4"/>
    <w:rsid w:val="4E44738D"/>
    <w:rsid w:val="4E8218B5"/>
    <w:rsid w:val="4E8C342E"/>
    <w:rsid w:val="4E961483"/>
    <w:rsid w:val="4EC23C1A"/>
    <w:rsid w:val="4F8856A8"/>
    <w:rsid w:val="4F98171B"/>
    <w:rsid w:val="4FA36865"/>
    <w:rsid w:val="4FB930DA"/>
    <w:rsid w:val="4FF555B7"/>
    <w:rsid w:val="501266F4"/>
    <w:rsid w:val="50157EA1"/>
    <w:rsid w:val="50535BA4"/>
    <w:rsid w:val="50800C4C"/>
    <w:rsid w:val="512A3242"/>
    <w:rsid w:val="51C3758A"/>
    <w:rsid w:val="51D901C2"/>
    <w:rsid w:val="52EA1EC4"/>
    <w:rsid w:val="53033E02"/>
    <w:rsid w:val="535D0C7E"/>
    <w:rsid w:val="538261DF"/>
    <w:rsid w:val="5395181D"/>
    <w:rsid w:val="53D11190"/>
    <w:rsid w:val="549A3D5C"/>
    <w:rsid w:val="55282BCC"/>
    <w:rsid w:val="553E772A"/>
    <w:rsid w:val="556D6226"/>
    <w:rsid w:val="55B92231"/>
    <w:rsid w:val="56130A7A"/>
    <w:rsid w:val="565F596D"/>
    <w:rsid w:val="5674226F"/>
    <w:rsid w:val="569A2DCA"/>
    <w:rsid w:val="56E20120"/>
    <w:rsid w:val="57165E08"/>
    <w:rsid w:val="5788201E"/>
    <w:rsid w:val="58634F8C"/>
    <w:rsid w:val="58E06F82"/>
    <w:rsid w:val="58EA7E51"/>
    <w:rsid w:val="59303BFC"/>
    <w:rsid w:val="59AF4056"/>
    <w:rsid w:val="59B73BFA"/>
    <w:rsid w:val="59DA4533"/>
    <w:rsid w:val="5AF8640E"/>
    <w:rsid w:val="5B2868E0"/>
    <w:rsid w:val="5B46160A"/>
    <w:rsid w:val="5B4F4004"/>
    <w:rsid w:val="5C0B0D88"/>
    <w:rsid w:val="5CF01AB6"/>
    <w:rsid w:val="5D6231F4"/>
    <w:rsid w:val="5D832ACC"/>
    <w:rsid w:val="5DD6677D"/>
    <w:rsid w:val="5E825415"/>
    <w:rsid w:val="5E832371"/>
    <w:rsid w:val="5EFC5B8B"/>
    <w:rsid w:val="5FDC7F80"/>
    <w:rsid w:val="5FED2FBB"/>
    <w:rsid w:val="60111B6C"/>
    <w:rsid w:val="604E5CF4"/>
    <w:rsid w:val="611A52A8"/>
    <w:rsid w:val="616E22A3"/>
    <w:rsid w:val="61B856CE"/>
    <w:rsid w:val="620D3C84"/>
    <w:rsid w:val="62323EBF"/>
    <w:rsid w:val="6258711A"/>
    <w:rsid w:val="629D3A61"/>
    <w:rsid w:val="62D7158A"/>
    <w:rsid w:val="64835B50"/>
    <w:rsid w:val="650B3439"/>
    <w:rsid w:val="65C55998"/>
    <w:rsid w:val="6644579E"/>
    <w:rsid w:val="66581F5C"/>
    <w:rsid w:val="66773C2C"/>
    <w:rsid w:val="667C2BF4"/>
    <w:rsid w:val="67A15E26"/>
    <w:rsid w:val="67A3782C"/>
    <w:rsid w:val="68616928"/>
    <w:rsid w:val="68D6774E"/>
    <w:rsid w:val="6916512D"/>
    <w:rsid w:val="69393A13"/>
    <w:rsid w:val="69905598"/>
    <w:rsid w:val="69CB0991"/>
    <w:rsid w:val="69CD1A4F"/>
    <w:rsid w:val="69D43CB8"/>
    <w:rsid w:val="6A294E9E"/>
    <w:rsid w:val="6AB22017"/>
    <w:rsid w:val="6AB55F18"/>
    <w:rsid w:val="6B311DB5"/>
    <w:rsid w:val="6B614F20"/>
    <w:rsid w:val="6B6B7556"/>
    <w:rsid w:val="6BA77EB4"/>
    <w:rsid w:val="6C7D5936"/>
    <w:rsid w:val="6CC96DE9"/>
    <w:rsid w:val="6CF00A4F"/>
    <w:rsid w:val="6D0B12FE"/>
    <w:rsid w:val="6D314D13"/>
    <w:rsid w:val="6DBD018E"/>
    <w:rsid w:val="6DC8413C"/>
    <w:rsid w:val="6E1D3B58"/>
    <w:rsid w:val="6E293001"/>
    <w:rsid w:val="6EA22599"/>
    <w:rsid w:val="6ED2130F"/>
    <w:rsid w:val="6F512B24"/>
    <w:rsid w:val="6FE84E67"/>
    <w:rsid w:val="7051225A"/>
    <w:rsid w:val="705441C9"/>
    <w:rsid w:val="709F2ABF"/>
    <w:rsid w:val="70B80EDB"/>
    <w:rsid w:val="70CA036F"/>
    <w:rsid w:val="712824DD"/>
    <w:rsid w:val="713B07D9"/>
    <w:rsid w:val="719C578C"/>
    <w:rsid w:val="72920386"/>
    <w:rsid w:val="72A91727"/>
    <w:rsid w:val="72B6294C"/>
    <w:rsid w:val="72C7012C"/>
    <w:rsid w:val="72E831B2"/>
    <w:rsid w:val="73A03F7B"/>
    <w:rsid w:val="743B28A1"/>
    <w:rsid w:val="744F467F"/>
    <w:rsid w:val="74BD67DE"/>
    <w:rsid w:val="74C93BDA"/>
    <w:rsid w:val="74DD3726"/>
    <w:rsid w:val="74E5720A"/>
    <w:rsid w:val="75A74EED"/>
    <w:rsid w:val="75BF2FB9"/>
    <w:rsid w:val="75BF7F20"/>
    <w:rsid w:val="75E851C7"/>
    <w:rsid w:val="75F01035"/>
    <w:rsid w:val="767E1D39"/>
    <w:rsid w:val="76CA518E"/>
    <w:rsid w:val="76CD1BD2"/>
    <w:rsid w:val="76FC1D09"/>
    <w:rsid w:val="77597934"/>
    <w:rsid w:val="77B05652"/>
    <w:rsid w:val="77D5687C"/>
    <w:rsid w:val="789C1BF4"/>
    <w:rsid w:val="78CD029F"/>
    <w:rsid w:val="78FA4A4A"/>
    <w:rsid w:val="79162271"/>
    <w:rsid w:val="79172E49"/>
    <w:rsid w:val="794E55E3"/>
    <w:rsid w:val="7982605F"/>
    <w:rsid w:val="7A335B36"/>
    <w:rsid w:val="7A372D14"/>
    <w:rsid w:val="7A4C7383"/>
    <w:rsid w:val="7AEC4257"/>
    <w:rsid w:val="7C3B4D7B"/>
    <w:rsid w:val="7C7D2123"/>
    <w:rsid w:val="7D0E5D25"/>
    <w:rsid w:val="7D1D410C"/>
    <w:rsid w:val="7D6B437A"/>
    <w:rsid w:val="7D942B9F"/>
    <w:rsid w:val="7DB61873"/>
    <w:rsid w:val="7DCB017C"/>
    <w:rsid w:val="7DD97A6A"/>
    <w:rsid w:val="7E1C6AF1"/>
    <w:rsid w:val="7E4D144D"/>
    <w:rsid w:val="7E95472B"/>
    <w:rsid w:val="7F307B4A"/>
    <w:rsid w:val="7F570B32"/>
    <w:rsid w:val="7F786EF1"/>
    <w:rsid w:val="7F7F3474"/>
    <w:rsid w:val="7F994F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link w:val="35"/>
    <w:qFormat/>
    <w:uiPriority w:val="0"/>
    <w:pPr>
      <w:keepNext/>
      <w:keepLines/>
      <w:adjustRightInd w:val="0"/>
      <w:snapToGrid w:val="0"/>
      <w:ind w:firstLine="200" w:firstLineChars="200"/>
      <w:jc w:val="left"/>
      <w:outlineLvl w:val="0"/>
    </w:pPr>
    <w:rPr>
      <w:rFonts w:eastAsia="华文仿宋"/>
      <w:b/>
      <w:kern w:val="44"/>
      <w:sz w:val="32"/>
    </w:rPr>
  </w:style>
  <w:style w:type="paragraph" w:styleId="5">
    <w:name w:val="heading 2"/>
    <w:basedOn w:val="1"/>
    <w:next w:val="1"/>
    <w:link w:val="36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Cambria" w:hAnsi="Cambria"/>
      <w:b/>
      <w:sz w:val="32"/>
    </w:rPr>
  </w:style>
  <w:style w:type="character" w:default="1" w:styleId="30">
    <w:name w:val="Default Paragraph Font"/>
    <w:qFormat/>
    <w:uiPriority w:val="0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line="460" w:lineRule="exact"/>
    </w:pPr>
    <w:rPr>
      <w:sz w:val="24"/>
    </w:r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toc 7"/>
    <w:basedOn w:val="1"/>
    <w:next w:val="1"/>
    <w:qFormat/>
    <w:uiPriority w:val="0"/>
    <w:pPr>
      <w:ind w:left="2520" w:leftChars="1200"/>
    </w:pPr>
  </w:style>
  <w:style w:type="paragraph" w:styleId="7">
    <w:name w:val="Document Map"/>
    <w:basedOn w:val="1"/>
    <w:link w:val="37"/>
    <w:qFormat/>
    <w:uiPriority w:val="0"/>
    <w:rPr>
      <w:rFonts w:ascii="宋体"/>
      <w:sz w:val="18"/>
    </w:rPr>
  </w:style>
  <w:style w:type="paragraph" w:styleId="8">
    <w:name w:val="annotation text"/>
    <w:basedOn w:val="1"/>
    <w:link w:val="38"/>
    <w:qFormat/>
    <w:uiPriority w:val="0"/>
    <w:pPr>
      <w:jc w:val="left"/>
    </w:pPr>
  </w:style>
  <w:style w:type="paragraph" w:styleId="9">
    <w:name w:val="Body Text Indent"/>
    <w:basedOn w:val="1"/>
    <w:qFormat/>
    <w:uiPriority w:val="0"/>
    <w:pPr>
      <w:snapToGrid w:val="0"/>
      <w:spacing w:line="360" w:lineRule="auto"/>
      <w:ind w:firstLine="435"/>
    </w:pPr>
  </w:style>
  <w:style w:type="paragraph" w:styleId="10">
    <w:name w:val="toc 5"/>
    <w:basedOn w:val="1"/>
    <w:next w:val="1"/>
    <w:qFormat/>
    <w:uiPriority w:val="0"/>
    <w:pPr>
      <w:ind w:left="1680" w:leftChars="800"/>
    </w:pPr>
  </w:style>
  <w:style w:type="paragraph" w:styleId="11">
    <w:name w:val="toc 3"/>
    <w:basedOn w:val="1"/>
    <w:next w:val="1"/>
    <w:qFormat/>
    <w:uiPriority w:val="0"/>
    <w:pPr>
      <w:ind w:left="840" w:leftChars="400"/>
    </w:p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toc 8"/>
    <w:basedOn w:val="1"/>
    <w:next w:val="1"/>
    <w:qFormat/>
    <w:uiPriority w:val="0"/>
    <w:pPr>
      <w:ind w:left="2940" w:leftChars="1400"/>
    </w:pPr>
  </w:style>
  <w:style w:type="paragraph" w:styleId="14">
    <w:name w:val="Date"/>
    <w:basedOn w:val="1"/>
    <w:next w:val="1"/>
    <w:qFormat/>
    <w:uiPriority w:val="0"/>
    <w:rPr>
      <w:rFonts w:ascii="宋体"/>
      <w:spacing w:val="2"/>
      <w:position w:val="8"/>
      <w:sz w:val="26"/>
    </w:rPr>
  </w:style>
  <w:style w:type="paragraph" w:styleId="15">
    <w:name w:val="Body Text Indent 2"/>
    <w:basedOn w:val="1"/>
    <w:qFormat/>
    <w:uiPriority w:val="0"/>
    <w:pPr>
      <w:snapToGrid w:val="0"/>
      <w:spacing w:line="360" w:lineRule="auto"/>
      <w:ind w:firstLine="435"/>
    </w:pPr>
    <w:rPr>
      <w:sz w:val="24"/>
    </w:rPr>
  </w:style>
  <w:style w:type="paragraph" w:styleId="16">
    <w:name w:val="Balloon Text"/>
    <w:basedOn w:val="1"/>
    <w:qFormat/>
    <w:uiPriority w:val="0"/>
    <w:rPr>
      <w:sz w:val="18"/>
    </w:rPr>
  </w:style>
  <w:style w:type="paragraph" w:styleId="1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1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9">
    <w:name w:val="toc 1"/>
    <w:basedOn w:val="1"/>
    <w:next w:val="1"/>
    <w:qFormat/>
    <w:uiPriority w:val="39"/>
  </w:style>
  <w:style w:type="paragraph" w:styleId="20">
    <w:name w:val="toc 4"/>
    <w:basedOn w:val="1"/>
    <w:next w:val="1"/>
    <w:qFormat/>
    <w:uiPriority w:val="0"/>
    <w:pPr>
      <w:ind w:left="1260" w:leftChars="600"/>
    </w:pPr>
  </w:style>
  <w:style w:type="paragraph" w:styleId="21">
    <w:name w:val="footnote text"/>
    <w:basedOn w:val="1"/>
    <w:link w:val="39"/>
    <w:qFormat/>
    <w:uiPriority w:val="0"/>
    <w:pPr>
      <w:snapToGrid w:val="0"/>
      <w:jc w:val="left"/>
    </w:pPr>
    <w:rPr>
      <w:sz w:val="18"/>
    </w:rPr>
  </w:style>
  <w:style w:type="paragraph" w:styleId="22">
    <w:name w:val="toc 6"/>
    <w:basedOn w:val="1"/>
    <w:next w:val="1"/>
    <w:qFormat/>
    <w:uiPriority w:val="0"/>
    <w:pPr>
      <w:ind w:left="2100" w:leftChars="1000"/>
    </w:pPr>
  </w:style>
  <w:style w:type="paragraph" w:styleId="23">
    <w:name w:val="Body Text Indent 3"/>
    <w:basedOn w:val="1"/>
    <w:qFormat/>
    <w:uiPriority w:val="0"/>
    <w:pPr>
      <w:snapToGrid w:val="0"/>
      <w:spacing w:line="360" w:lineRule="auto"/>
      <w:ind w:firstLine="420"/>
    </w:pPr>
    <w:rPr>
      <w:b/>
      <w:sz w:val="24"/>
    </w:rPr>
  </w:style>
  <w:style w:type="paragraph" w:styleId="24">
    <w:name w:val="toc 2"/>
    <w:basedOn w:val="1"/>
    <w:next w:val="1"/>
    <w:qFormat/>
    <w:uiPriority w:val="0"/>
    <w:pPr>
      <w:ind w:left="420" w:leftChars="200"/>
    </w:pPr>
  </w:style>
  <w:style w:type="paragraph" w:styleId="25">
    <w:name w:val="toc 9"/>
    <w:basedOn w:val="1"/>
    <w:next w:val="1"/>
    <w:qFormat/>
    <w:uiPriority w:val="0"/>
    <w:pPr>
      <w:ind w:left="3360" w:leftChars="1600"/>
    </w:pPr>
  </w:style>
  <w:style w:type="paragraph" w:styleId="26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7">
    <w:name w:val="Title"/>
    <w:basedOn w:val="4"/>
    <w:qFormat/>
    <w:uiPriority w:val="0"/>
    <w:pPr>
      <w:jc w:val="center"/>
      <w:textAlignment w:val="baseline"/>
    </w:pPr>
    <w:rPr>
      <w:rFonts w:ascii="方正仿宋_GBK" w:hAnsi="方正仿宋_GBK" w:eastAsia="方正仿宋_GBK"/>
    </w:rPr>
  </w:style>
  <w:style w:type="paragraph" w:styleId="28">
    <w:name w:val="annotation subject"/>
    <w:basedOn w:val="8"/>
    <w:next w:val="8"/>
    <w:qFormat/>
    <w:uiPriority w:val="0"/>
    <w:rPr>
      <w:b/>
    </w:rPr>
  </w:style>
  <w:style w:type="character" w:styleId="31">
    <w:name w:val="page number"/>
    <w:basedOn w:val="30"/>
    <w:qFormat/>
    <w:uiPriority w:val="0"/>
  </w:style>
  <w:style w:type="character" w:styleId="32">
    <w:name w:val="Hyperlink"/>
    <w:qFormat/>
    <w:uiPriority w:val="99"/>
    <w:rPr>
      <w:color w:val="0000FF"/>
      <w:u w:val="single"/>
    </w:rPr>
  </w:style>
  <w:style w:type="character" w:styleId="33">
    <w:name w:val="annotation reference"/>
    <w:qFormat/>
    <w:uiPriority w:val="0"/>
    <w:rPr>
      <w:sz w:val="21"/>
    </w:rPr>
  </w:style>
  <w:style w:type="character" w:styleId="34">
    <w:name w:val="footnote reference"/>
    <w:qFormat/>
    <w:uiPriority w:val="0"/>
    <w:rPr>
      <w:vertAlign w:val="superscript"/>
    </w:rPr>
  </w:style>
  <w:style w:type="character" w:customStyle="1" w:styleId="35">
    <w:name w:val="标题 1 字符"/>
    <w:link w:val="4"/>
    <w:qFormat/>
    <w:uiPriority w:val="0"/>
    <w:rPr>
      <w:rFonts w:eastAsia="华文仿宋"/>
      <w:b/>
      <w:kern w:val="44"/>
      <w:sz w:val="32"/>
    </w:rPr>
  </w:style>
  <w:style w:type="character" w:customStyle="1" w:styleId="36">
    <w:name w:val="标题 2 字符"/>
    <w:link w:val="5"/>
    <w:qFormat/>
    <w:uiPriority w:val="0"/>
    <w:rPr>
      <w:rFonts w:ascii="Cambria" w:hAnsi="Cambria"/>
      <w:b/>
      <w:kern w:val="2"/>
      <w:sz w:val="32"/>
    </w:rPr>
  </w:style>
  <w:style w:type="character" w:customStyle="1" w:styleId="37">
    <w:name w:val="文档结构图 字符"/>
    <w:link w:val="7"/>
    <w:qFormat/>
    <w:uiPriority w:val="0"/>
    <w:rPr>
      <w:rFonts w:ascii="宋体"/>
      <w:kern w:val="2"/>
      <w:sz w:val="18"/>
    </w:rPr>
  </w:style>
  <w:style w:type="character" w:customStyle="1" w:styleId="38">
    <w:name w:val="批注文字 字符"/>
    <w:link w:val="8"/>
    <w:qFormat/>
    <w:uiPriority w:val="0"/>
    <w:rPr>
      <w:kern w:val="2"/>
      <w:sz w:val="21"/>
    </w:rPr>
  </w:style>
  <w:style w:type="character" w:customStyle="1" w:styleId="39">
    <w:name w:val="脚注文本 字符"/>
    <w:link w:val="21"/>
    <w:qFormat/>
    <w:uiPriority w:val="0"/>
    <w:rPr>
      <w:kern w:val="2"/>
      <w:sz w:val="18"/>
    </w:rPr>
  </w:style>
  <w:style w:type="character" w:customStyle="1" w:styleId="40">
    <w:name w:val="样式 方正仿宋_GBK 三号 Char Char"/>
    <w:link w:val="41"/>
    <w:qFormat/>
    <w:uiPriority w:val="0"/>
    <w:rPr>
      <w:rFonts w:ascii="方正仿宋_GBK" w:eastAsia="方正仿宋_GBK"/>
      <w:kern w:val="2"/>
      <w:sz w:val="32"/>
      <w:lang w:val="en-US" w:eastAsia="zh-CN"/>
    </w:rPr>
  </w:style>
  <w:style w:type="paragraph" w:customStyle="1" w:styleId="41">
    <w:name w:val="样式 方正仿宋_GBK 三号"/>
    <w:basedOn w:val="1"/>
    <w:link w:val="40"/>
    <w:qFormat/>
    <w:uiPriority w:val="0"/>
    <w:pPr>
      <w:snapToGrid w:val="0"/>
      <w:ind w:firstLine="200" w:firstLineChars="200"/>
    </w:pPr>
    <w:rPr>
      <w:rFonts w:ascii="方正仿宋_GBK" w:eastAsia="方正仿宋_GBK"/>
      <w:sz w:val="32"/>
    </w:rPr>
  </w:style>
  <w:style w:type="character" w:customStyle="1" w:styleId="42">
    <w:name w:val="页脚 Char Char"/>
    <w:qFormat/>
    <w:uiPriority w:val="0"/>
    <w:rPr>
      <w:kern w:val="2"/>
      <w:sz w:val="18"/>
    </w:rPr>
  </w:style>
  <w:style w:type="character" w:customStyle="1" w:styleId="43">
    <w:name w:val="14p10"/>
    <w:qFormat/>
    <w:uiPriority w:val="0"/>
    <w:rPr>
      <w:rFonts w:cs="Times New Roman"/>
    </w:rPr>
  </w:style>
  <w:style w:type="paragraph" w:customStyle="1" w:styleId="44">
    <w:name w:val="p15"/>
    <w:basedOn w:val="1"/>
    <w:qFormat/>
    <w:uiPriority w:val="0"/>
    <w:pPr>
      <w:widowControl/>
      <w:jc w:val="left"/>
    </w:pPr>
    <w:rPr>
      <w:rFonts w:ascii="Times New Roman" w:hAnsi="Times New Roman"/>
      <w:kern w:val="0"/>
      <w:sz w:val="18"/>
      <w:szCs w:val="18"/>
    </w:rPr>
  </w:style>
  <w:style w:type="paragraph" w:customStyle="1" w:styleId="45">
    <w:name w:val="CM2"/>
    <w:basedOn w:val="1"/>
    <w:next w:val="1"/>
    <w:qFormat/>
    <w:uiPriority w:val="0"/>
    <w:pPr>
      <w:autoSpaceDE w:val="0"/>
      <w:autoSpaceDN w:val="0"/>
      <w:adjustRightInd w:val="0"/>
      <w:spacing w:line="626" w:lineRule="atLeast"/>
      <w:jc w:val="left"/>
    </w:pPr>
    <w:rPr>
      <w:rFonts w:ascii="Times New Roman PSMT" w:hAnsi="Calibri" w:eastAsia="Times New Roman PSMT"/>
      <w:kern w:val="0"/>
      <w:sz w:val="24"/>
    </w:rPr>
  </w:style>
  <w:style w:type="paragraph" w:customStyle="1" w:styleId="46">
    <w:name w:val="样式 标题 1 + 方正仿宋_GBK 首行缩进:  2 字符"/>
    <w:basedOn w:val="4"/>
    <w:qFormat/>
    <w:uiPriority w:val="0"/>
    <w:rPr>
      <w:rFonts w:ascii="方正仿宋_GBK" w:hAnsi="方正仿宋_GBK" w:eastAsia="方正仿宋_GBK"/>
      <w:kern w:val="2"/>
    </w:rPr>
  </w:style>
  <w:style w:type="paragraph" w:customStyle="1" w:styleId="47">
    <w:name w:val="_Style 46"/>
    <w:basedOn w:val="4"/>
    <w:next w:val="1"/>
    <w:qFormat/>
    <w:uiPriority w:val="0"/>
    <w:pPr>
      <w:widowControl/>
      <w:adjustRightInd/>
      <w:snapToGrid/>
      <w:spacing w:before="480" w:beforeLines="0" w:beforeAutospacing="0" w:line="276" w:lineRule="auto"/>
      <w:ind w:firstLine="0" w:firstLineChars="0"/>
      <w:outlineLvl w:val="9"/>
    </w:pPr>
    <w:rPr>
      <w:rFonts w:ascii="Cambria" w:hAnsi="Cambria" w:eastAsia="宋体"/>
      <w:color w:val="365F91"/>
      <w:kern w:val="0"/>
      <w:sz w:val="28"/>
    </w:rPr>
  </w:style>
  <w:style w:type="paragraph" w:customStyle="1" w:styleId="48">
    <w:name w:val="Char Char Char Char Char Char Char Char Char Char"/>
    <w:basedOn w:val="1"/>
    <w:qFormat/>
    <w:uiPriority w:val="0"/>
    <w:pPr>
      <w:spacing w:line="360" w:lineRule="auto"/>
    </w:pPr>
  </w:style>
  <w:style w:type="paragraph" w:customStyle="1" w:styleId="49">
    <w:name w:val="列出段落1"/>
    <w:basedOn w:val="1"/>
    <w:qFormat/>
    <w:uiPriority w:val="0"/>
    <w:pPr>
      <w:ind w:firstLine="420" w:firstLineChars="200"/>
    </w:pPr>
    <w:rPr>
      <w:szCs w:val="22"/>
    </w:rPr>
  </w:style>
  <w:style w:type="paragraph" w:customStyle="1" w:styleId="50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51">
    <w:name w:val="_Style 50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2">
    <w:name w:val="样式 方正仿宋_GBK 三号 行距: 固定值 23 磅"/>
    <w:basedOn w:val="1"/>
    <w:qFormat/>
    <w:uiPriority w:val="0"/>
    <w:pPr>
      <w:snapToGrid w:val="0"/>
      <w:ind w:firstLine="200" w:firstLineChars="200"/>
    </w:pPr>
    <w:rPr>
      <w:rFonts w:ascii="方正仿宋_GBK" w:hAnsi="宋体" w:eastAsia="方正仿宋_GBK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1420</Words>
  <Characters>1537</Characters>
  <Lines>175</Lines>
  <Paragraphs>49</Paragraphs>
  <TotalTime>30</TotalTime>
  <ScaleCrop>false</ScaleCrop>
  <LinksUpToDate>false</LinksUpToDate>
  <CharactersWithSpaces>1608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2015-12-07T02:25:00Z</dcterms:created>
  <dc:creator>邢志明 校对</dc:creator>
  <cp:lastModifiedBy>张岩</cp:lastModifiedBy>
  <cp:lastPrinted>2025-01-02T12:36:00Z</cp:lastPrinted>
  <dcterms:modified xsi:type="dcterms:W3CDTF">2025-11-26T06:22:21Z</dcterms:modified>
  <dc:title>合同编号：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73077AFC8BE745AA9AF7C37B3CE14997_13</vt:lpwstr>
  </property>
  <property fmtid="{D5CDD505-2E9C-101B-9397-08002B2CF9AE}" pid="4" name="KSOTemplateDocerSaveRecord">
    <vt:lpwstr>eyJoZGlkIjoiOWVhYWQyYWU2ZTA2YjYxOTBlOWIwNDUxMTY3ODRkMmMiLCJ1c2VySWQiOiIyOTYyMzM5NTcifQ==</vt:lpwstr>
  </property>
</Properties>
</file>