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1.0 -->
  <w:body>
    <w:p>
      <w:pPr>
        <w:pStyle w:val="Heading3"/>
        <w:keepNext/>
        <w:keepLines/>
        <w:pageBreakBefore w:val="0"/>
        <w:widowControl w:val="0"/>
        <w:kinsoku/>
        <w:wordWrap/>
        <w:overflowPunct/>
        <w:topLinePunct w:val="0"/>
        <w:autoSpaceDE/>
        <w:autoSpaceDN/>
        <w:bidi w:val="0"/>
        <w:adjustRightInd/>
        <w:snapToGrid/>
        <w:spacing w:before="0" w:after="0" w:line="560" w:lineRule="exact"/>
        <w:textAlignment w:val="auto"/>
        <w:rPr>
          <w:rFonts w:ascii="黑体" w:eastAsia="黑体" w:hAnsi="黑体" w:cs="黑体" w:hint="default"/>
          <w:b w:val="0"/>
          <w:bCs w:val="0"/>
          <w:lang w:val="en-US" w:eastAsia="zh-CN"/>
        </w:rPr>
      </w:pPr>
      <w:bookmarkStart w:id="0" w:name="_Toc31368"/>
      <w:bookmarkStart w:id="1" w:name="_GoBack"/>
      <w:r>
        <w:rPr>
          <w:rFonts w:ascii="黑体" w:eastAsia="黑体" w:hAnsi="黑体" w:cs="黑体" w:hint="eastAsia"/>
          <w:b w:val="0"/>
          <w:bCs w:val="0"/>
          <w:lang w:val="en-US" w:eastAsia="zh-CN"/>
        </w:rPr>
        <w:t>海南交易〔2026〕20号</w:t>
      </w:r>
      <w:r>
        <w:rPr>
          <w:rFonts w:ascii="黑体" w:eastAsia="黑体" w:hAnsi="黑体" w:cs="黑体" w:hint="eastAsia"/>
          <w:b w:val="0"/>
          <w:bCs w:val="0"/>
          <w:lang w:val="en-US" w:eastAsia="zh-CN"/>
        </w:rPr>
        <w:t>附件2</w:t>
      </w:r>
    </w:p>
    <w:bookmarkEnd w:id="1"/>
    <w:p>
      <w:pPr>
        <w:spacing w:line="560" w:lineRule="exact"/>
        <w:rPr>
          <w:rFonts w:hint="default"/>
          <w:lang w:val="en-US" w:eastAsia="zh-CN"/>
        </w:rPr>
      </w:pPr>
    </w:p>
    <w:p>
      <w:pPr>
        <w:pageBreakBefore w:val="0"/>
        <w:kinsoku/>
        <w:wordWrap/>
        <w:overflowPunct/>
        <w:topLinePunct w:val="0"/>
        <w:autoSpaceDE/>
        <w:autoSpaceDN/>
        <w:bidi w:val="0"/>
        <w:adjustRightInd/>
        <w:spacing w:line="560" w:lineRule="exact"/>
        <w:jc w:val="center"/>
        <w:outlineLvl w:val="0"/>
        <w:rPr>
          <w:rFonts w:ascii="方正小标宋_GBK" w:eastAsia="方正小标宋_GBK" w:hAnsi="方正小标宋_GBK" w:cs="方正小标宋_GBK" w:hint="eastAsia"/>
          <w:color w:val="auto"/>
          <w:w w:val="100"/>
          <w:sz w:val="44"/>
          <w:szCs w:val="44"/>
          <w:highlight w:val="none"/>
          <w:lang w:eastAsia="zh-CN"/>
        </w:rPr>
      </w:pPr>
      <w:r>
        <w:rPr>
          <w:rFonts w:ascii="方正小标宋_GBK" w:eastAsia="方正小标宋_GBK" w:hAnsi="方正小标宋_GBK" w:cs="方正小标宋_GBK" w:hint="eastAsia"/>
          <w:color w:val="auto"/>
          <w:w w:val="100"/>
          <w:sz w:val="44"/>
          <w:szCs w:val="44"/>
          <w:highlight w:val="none"/>
          <w:lang w:eastAsia="zh-CN"/>
        </w:rPr>
        <w:t>海南电力市场中长期电能量交易实施细则</w:t>
      </w:r>
      <w:bookmarkEnd w:id="0"/>
      <w:bookmarkStart w:id="2" w:name="_Toc20426"/>
      <w:bookmarkStart w:id="3" w:name="_Toc32732"/>
    </w:p>
    <w:p>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outlineLvl w:val="0"/>
        <w:rPr>
          <w:rFonts w:ascii="楷体" w:eastAsia="楷体" w:hAnsi="楷体" w:cs="楷体" w:hint="eastAsia"/>
          <w:color w:val="auto"/>
          <w:spacing w:val="0"/>
          <w:sz w:val="32"/>
          <w:szCs w:val="32"/>
          <w:highlight w:val="none"/>
        </w:rPr>
      </w:pPr>
      <w:r>
        <w:rPr>
          <w:rFonts w:ascii="楷体" w:eastAsia="楷体" w:hAnsi="楷体" w:cs="楷体" w:hint="eastAsia"/>
          <w:color w:val="auto"/>
          <w:spacing w:val="0"/>
          <w:sz w:val="32"/>
          <w:szCs w:val="32"/>
          <w:highlight w:val="none"/>
        </w:rPr>
        <w:t>（</w:t>
      </w:r>
      <w:r>
        <w:rPr>
          <w:rFonts w:ascii="楷体" w:eastAsia="楷体" w:hAnsi="楷体" w:cs="楷体" w:hint="eastAsia"/>
          <w:color w:val="auto"/>
          <w:spacing w:val="0"/>
          <w:sz w:val="32"/>
          <w:szCs w:val="32"/>
          <w:highlight w:val="none"/>
          <w:lang w:val="en-US" w:eastAsia="zh-CN"/>
        </w:rPr>
        <w:t>2025年V1.1版</w:t>
      </w:r>
      <w:r>
        <w:rPr>
          <w:rFonts w:ascii="楷体" w:eastAsia="楷体" w:hAnsi="楷体" w:cs="楷体" w:hint="eastAsia"/>
          <w:color w:val="auto"/>
          <w:spacing w:val="0"/>
          <w:sz w:val="32"/>
          <w:szCs w:val="32"/>
          <w:highlight w:val="none"/>
        </w:rPr>
        <w:t>）</w:t>
      </w:r>
    </w:p>
    <w:bookmarkEnd w:id="2"/>
    <w:bookmarkEnd w:id="3"/>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0"/>
        <w:rPr>
          <w:rFonts w:ascii="仿宋_GB2312" w:eastAsia="仿宋_GB2312" w:hAnsi="仿宋_GB2312" w:cs="仿宋_GB2312" w:hint="eastAsia"/>
          <w:snapToGrid w:val="0"/>
          <w:color w:val="auto"/>
          <w:spacing w:val="2"/>
          <w:kern w:val="0"/>
          <w:sz w:val="32"/>
          <w:szCs w:val="32"/>
          <w:lang w:eastAsia="zh-CN"/>
        </w:rPr>
      </w:pPr>
    </w:p>
    <w:p>
      <w:pPr>
        <w:pStyle w:val="Heading3"/>
        <w:pageBreakBefore w:val="0"/>
        <w:wordWrap/>
        <w:overflowPunct/>
        <w:topLinePunct w:val="0"/>
        <w:bidi w:val="0"/>
        <w:spacing w:before="0" w:after="0" w:line="560" w:lineRule="exact"/>
        <w:rPr>
          <w:rFonts w:hint="eastAsia"/>
          <w:color w:val="auto"/>
          <w:lang w:eastAsia="zh-CN"/>
        </w:rPr>
      </w:pPr>
    </w:p>
    <w:p>
      <w:pPr>
        <w:pStyle w:val="BodyText"/>
        <w:pageBreakBefore w:val="0"/>
        <w:tabs>
          <w:tab w:val="left" w:pos="659"/>
        </w:tabs>
        <w:kinsoku/>
        <w:wordWrap/>
        <w:overflowPunct/>
        <w:topLinePunct w:val="0"/>
        <w:autoSpaceDE/>
        <w:autoSpaceDN/>
        <w:bidi w:val="0"/>
        <w:adjustRightInd/>
        <w:spacing w:line="560" w:lineRule="exact"/>
        <w:ind w:left="0" w:right="0" w:firstLine="640" w:firstLineChars="200"/>
        <w:jc w:val="both"/>
        <w:textAlignment w:val="auto"/>
        <w:outlineLvl w:val="0"/>
        <w:rPr>
          <w:rFonts w:ascii="黑体" w:eastAsia="黑体" w:hAnsi="黑体" w:cs="黑体" w:hint="eastAsia"/>
          <w:b w:val="0"/>
          <w:bCs w:val="0"/>
          <w:color w:val="auto"/>
          <w:w w:val="100"/>
          <w:highlight w:val="none"/>
          <w:lang w:eastAsia="zh-CN"/>
        </w:rPr>
      </w:pPr>
      <w:bookmarkStart w:id="4" w:name="_Toc23003"/>
      <w:r>
        <w:rPr>
          <w:rFonts w:ascii="黑体" w:eastAsia="黑体" w:hAnsi="黑体" w:cs="黑体" w:hint="eastAsia"/>
          <w:b w:val="0"/>
          <w:bCs w:val="0"/>
          <w:color w:val="auto"/>
          <w:w w:val="100"/>
          <w:highlight w:val="none"/>
          <w:lang w:eastAsia="zh-CN"/>
        </w:rPr>
        <w:t>1</w:t>
      </w:r>
      <w:bookmarkStart w:id="5" w:name="_bookmark0"/>
      <w:bookmarkEnd w:id="5"/>
      <w:bookmarkStart w:id="6" w:name="1总述"/>
      <w:bookmarkEnd w:id="6"/>
      <w:r>
        <w:rPr>
          <w:rFonts w:ascii="黑体" w:eastAsia="黑体" w:hAnsi="黑体" w:cs="黑体" w:hint="eastAsia"/>
          <w:b w:val="0"/>
          <w:bCs w:val="0"/>
          <w:color w:val="auto"/>
          <w:w w:val="100"/>
          <w:highlight w:val="none"/>
          <w:lang w:eastAsia="zh-CN"/>
        </w:rPr>
        <w:t>.</w:t>
      </w:r>
      <w:r>
        <w:rPr>
          <w:rFonts w:ascii="黑体" w:eastAsia="黑体" w:hAnsi="黑体" w:cs="黑体" w:hint="eastAsia"/>
          <w:b w:val="0"/>
          <w:bCs w:val="0"/>
          <w:color w:val="auto"/>
          <w:spacing w:val="1"/>
          <w:w w:val="100"/>
          <w:highlight w:val="none"/>
          <w:lang w:eastAsia="zh-CN"/>
        </w:rPr>
        <w:t>总</w:t>
      </w:r>
      <w:bookmarkEnd w:id="4"/>
      <w:r>
        <w:rPr>
          <w:rFonts w:ascii="黑体" w:eastAsia="黑体" w:hAnsi="黑体" w:cs="黑体" w:hint="eastAsia"/>
          <w:b w:val="0"/>
          <w:bCs w:val="0"/>
          <w:color w:val="auto"/>
          <w:w w:val="100"/>
          <w:highlight w:val="none"/>
          <w:lang w:val="en-US" w:eastAsia="zh-CN"/>
        </w:rPr>
        <w:t>则</w:t>
      </w:r>
    </w:p>
    <w:p>
      <w:pPr>
        <w:pStyle w:val="BodyText"/>
        <w:pageBreakBefore w:val="0"/>
        <w:kinsoku/>
        <w:wordWrap/>
        <w:overflowPunct/>
        <w:topLinePunct w:val="0"/>
        <w:autoSpaceDE/>
        <w:autoSpaceDN/>
        <w:bidi w:val="0"/>
        <w:adjustRightInd/>
        <w:spacing w:line="560" w:lineRule="exact"/>
        <w:ind w:left="0" w:right="0" w:firstLine="640" w:firstLineChars="200"/>
        <w:jc w:val="both"/>
        <w:textAlignment w:val="auto"/>
        <w:outlineLvl w:val="9"/>
        <w:rPr>
          <w:rFonts w:ascii="仿宋_GB2312" w:eastAsia="仿宋_GB2312" w:hAnsi="仿宋_GB2312" w:cs="仿宋_GB2312" w:hint="eastAsia"/>
          <w:color w:val="auto"/>
          <w:w w:val="100"/>
          <w:highlight w:val="none"/>
          <w:lang w:eastAsia="zh-CN"/>
        </w:rPr>
      </w:pPr>
      <w:r>
        <w:rPr>
          <w:rFonts w:ascii="仿宋_GB2312" w:eastAsia="仿宋_GB2312" w:hAnsi="仿宋_GB2312" w:cs="仿宋_GB2312" w:hint="eastAsia"/>
          <w:color w:val="auto"/>
          <w:w w:val="100"/>
          <w:highlight w:val="none"/>
          <w:lang w:eastAsia="zh-CN"/>
        </w:rPr>
        <w:t>1.1为</w:t>
      </w:r>
      <w:r>
        <w:rPr>
          <w:rFonts w:ascii="仿宋_GB2312" w:eastAsia="仿宋_GB2312" w:hAnsi="仿宋_GB2312" w:cs="仿宋_GB2312" w:hint="eastAsia"/>
          <w:color w:val="auto"/>
          <w:spacing w:val="1"/>
          <w:w w:val="100"/>
          <w:highlight w:val="none"/>
          <w:lang w:eastAsia="zh-CN"/>
        </w:rPr>
        <w:t>规</w:t>
      </w:r>
      <w:r>
        <w:rPr>
          <w:rFonts w:ascii="仿宋_GB2312" w:eastAsia="仿宋_GB2312" w:hAnsi="仿宋_GB2312" w:cs="仿宋_GB2312" w:hint="eastAsia"/>
          <w:color w:val="auto"/>
          <w:w w:val="100"/>
          <w:highlight w:val="none"/>
          <w:lang w:eastAsia="zh-CN"/>
        </w:rPr>
        <w:t>范开展海南</w:t>
      </w:r>
      <w:r>
        <w:rPr>
          <w:rFonts w:ascii="仿宋_GB2312" w:eastAsia="仿宋_GB2312" w:hAnsi="仿宋_GB2312" w:cs="仿宋_GB2312" w:hint="eastAsia"/>
          <w:color w:val="auto"/>
          <w:spacing w:val="1"/>
          <w:w w:val="100"/>
          <w:highlight w:val="none"/>
          <w:lang w:eastAsia="zh-CN"/>
        </w:rPr>
        <w:t>电</w:t>
      </w:r>
      <w:r>
        <w:rPr>
          <w:rFonts w:ascii="仿宋_GB2312" w:eastAsia="仿宋_GB2312" w:hAnsi="仿宋_GB2312" w:cs="仿宋_GB2312" w:hint="eastAsia"/>
          <w:color w:val="auto"/>
          <w:w w:val="100"/>
          <w:highlight w:val="none"/>
          <w:lang w:eastAsia="zh-CN"/>
        </w:rPr>
        <w:t>力中长</w:t>
      </w:r>
      <w:r>
        <w:rPr>
          <w:rFonts w:ascii="仿宋_GB2312" w:eastAsia="仿宋_GB2312" w:hAnsi="仿宋_GB2312" w:cs="仿宋_GB2312" w:hint="eastAsia"/>
          <w:color w:val="auto"/>
          <w:spacing w:val="1"/>
          <w:w w:val="100"/>
          <w:highlight w:val="none"/>
          <w:lang w:eastAsia="zh-CN"/>
        </w:rPr>
        <w:t>期</w:t>
      </w:r>
      <w:r>
        <w:rPr>
          <w:rFonts w:ascii="仿宋_GB2312" w:eastAsia="仿宋_GB2312" w:hAnsi="仿宋_GB2312" w:cs="仿宋_GB2312" w:hint="eastAsia"/>
          <w:color w:val="auto"/>
          <w:w w:val="100"/>
          <w:highlight w:val="none"/>
          <w:lang w:eastAsia="zh-CN"/>
        </w:rPr>
        <w:t>电</w:t>
      </w:r>
      <w:r>
        <w:rPr>
          <w:rFonts w:ascii="仿宋_GB2312" w:eastAsia="仿宋_GB2312" w:hAnsi="仿宋_GB2312" w:cs="仿宋_GB2312" w:hint="eastAsia"/>
          <w:color w:val="auto"/>
          <w:spacing w:val="1"/>
          <w:w w:val="100"/>
          <w:highlight w:val="none"/>
          <w:lang w:eastAsia="zh-CN"/>
        </w:rPr>
        <w:t>能</w:t>
      </w:r>
      <w:r>
        <w:rPr>
          <w:rFonts w:ascii="仿宋_GB2312" w:eastAsia="仿宋_GB2312" w:hAnsi="仿宋_GB2312" w:cs="仿宋_GB2312" w:hint="eastAsia"/>
          <w:color w:val="auto"/>
          <w:w w:val="100"/>
          <w:highlight w:val="none"/>
          <w:lang w:eastAsia="zh-CN"/>
        </w:rPr>
        <w:t>量交易，与南</w:t>
      </w:r>
      <w:r>
        <w:rPr>
          <w:rFonts w:ascii="仿宋_GB2312" w:eastAsia="仿宋_GB2312" w:hAnsi="仿宋_GB2312" w:cs="仿宋_GB2312" w:hint="eastAsia"/>
          <w:color w:val="auto"/>
          <w:spacing w:val="-7"/>
          <w:w w:val="100"/>
          <w:highlight w:val="none"/>
          <w:lang w:eastAsia="zh-CN"/>
        </w:rPr>
        <w:t>方</w:t>
      </w:r>
      <w:r>
        <w:rPr>
          <w:rFonts w:ascii="仿宋_GB2312" w:eastAsia="仿宋_GB2312" w:hAnsi="仿宋_GB2312" w:cs="仿宋_GB2312" w:hint="eastAsia"/>
          <w:color w:val="auto"/>
          <w:spacing w:val="1"/>
          <w:w w:val="100"/>
          <w:highlight w:val="none"/>
          <w:lang w:eastAsia="zh-CN"/>
        </w:rPr>
        <w:t>区域</w:t>
      </w:r>
      <w:r>
        <w:rPr>
          <w:rFonts w:ascii="仿宋_GB2312" w:eastAsia="仿宋_GB2312" w:hAnsi="仿宋_GB2312" w:cs="仿宋_GB2312" w:hint="eastAsia"/>
          <w:color w:val="auto"/>
          <w:w w:val="100"/>
          <w:highlight w:val="none"/>
          <w:lang w:eastAsia="zh-CN"/>
        </w:rPr>
        <w:t>电</w:t>
      </w:r>
      <w:r>
        <w:rPr>
          <w:rFonts w:ascii="仿宋_GB2312" w:eastAsia="仿宋_GB2312" w:hAnsi="仿宋_GB2312" w:cs="仿宋_GB2312" w:hint="eastAsia"/>
          <w:color w:val="auto"/>
          <w:spacing w:val="1"/>
          <w:w w:val="100"/>
          <w:highlight w:val="none"/>
          <w:lang w:eastAsia="zh-CN"/>
        </w:rPr>
        <w:t>力</w:t>
      </w:r>
      <w:r>
        <w:rPr>
          <w:rFonts w:ascii="仿宋_GB2312" w:eastAsia="仿宋_GB2312" w:hAnsi="仿宋_GB2312" w:cs="仿宋_GB2312" w:hint="eastAsia"/>
          <w:color w:val="auto"/>
          <w:w w:val="100"/>
          <w:highlight w:val="none"/>
          <w:lang w:eastAsia="zh-CN"/>
        </w:rPr>
        <w:t>现货电</w:t>
      </w:r>
      <w:r>
        <w:rPr>
          <w:rFonts w:ascii="仿宋_GB2312" w:eastAsia="仿宋_GB2312" w:hAnsi="仿宋_GB2312" w:cs="仿宋_GB2312" w:hint="eastAsia"/>
          <w:color w:val="auto"/>
          <w:spacing w:val="1"/>
          <w:w w:val="100"/>
          <w:highlight w:val="none"/>
          <w:lang w:eastAsia="zh-CN"/>
        </w:rPr>
        <w:t>能</w:t>
      </w:r>
      <w:r>
        <w:rPr>
          <w:rFonts w:ascii="仿宋_GB2312" w:eastAsia="仿宋_GB2312" w:hAnsi="仿宋_GB2312" w:cs="仿宋_GB2312" w:hint="eastAsia"/>
          <w:color w:val="auto"/>
          <w:w w:val="100"/>
          <w:highlight w:val="none"/>
          <w:lang w:eastAsia="zh-CN"/>
        </w:rPr>
        <w:t>量市场有</w:t>
      </w:r>
      <w:r>
        <w:rPr>
          <w:rFonts w:ascii="仿宋_GB2312" w:eastAsia="仿宋_GB2312" w:hAnsi="仿宋_GB2312" w:cs="仿宋_GB2312" w:hint="eastAsia"/>
          <w:color w:val="auto"/>
          <w:spacing w:val="1"/>
          <w:w w:val="100"/>
          <w:highlight w:val="none"/>
          <w:lang w:eastAsia="zh-CN"/>
        </w:rPr>
        <w:t>效</w:t>
      </w:r>
      <w:r>
        <w:rPr>
          <w:rFonts w:ascii="仿宋_GB2312" w:eastAsia="仿宋_GB2312" w:hAnsi="仿宋_GB2312" w:cs="仿宋_GB2312" w:hint="eastAsia"/>
          <w:color w:val="auto"/>
          <w:w w:val="100"/>
          <w:highlight w:val="none"/>
          <w:lang w:eastAsia="zh-CN"/>
        </w:rPr>
        <w:t>衔接，依据《电力中长期市场基本规则》（发改能源规〔2025〕1656号）等规定，制定本实施</w:t>
      </w:r>
      <w:r>
        <w:rPr>
          <w:rFonts w:ascii="仿宋_GB2312" w:eastAsia="仿宋_GB2312" w:hAnsi="仿宋_GB2312" w:cs="仿宋_GB2312" w:hint="eastAsia"/>
          <w:color w:val="auto"/>
          <w:spacing w:val="0"/>
          <w:w w:val="100"/>
          <w:highlight w:val="none"/>
          <w:lang w:eastAsia="zh-CN"/>
        </w:rPr>
        <w:t>细</w:t>
      </w:r>
      <w:r>
        <w:rPr>
          <w:rFonts w:ascii="仿宋_GB2312" w:eastAsia="仿宋_GB2312" w:hAnsi="仿宋_GB2312" w:cs="仿宋_GB2312" w:hint="eastAsia"/>
          <w:color w:val="auto"/>
          <w:w w:val="100"/>
          <w:highlight w:val="none"/>
          <w:lang w:eastAsia="zh-CN"/>
        </w:rPr>
        <w:t>则。</w:t>
      </w:r>
    </w:p>
    <w:p>
      <w:pPr>
        <w:pStyle w:val="BodyText"/>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default"/>
          <w:color w:val="auto"/>
          <w:w w:val="100"/>
          <w:highlight w:val="none"/>
          <w:lang w:val="en-US" w:eastAsia="zh-CN"/>
        </w:rPr>
      </w:pPr>
      <w:bookmarkStart w:id="7" w:name="_bookmark1"/>
      <w:bookmarkEnd w:id="7"/>
      <w:bookmarkStart w:id="8" w:name="2适用范围"/>
      <w:bookmarkEnd w:id="8"/>
      <w:r>
        <w:rPr>
          <w:rFonts w:ascii="仿宋_GB2312" w:eastAsia="仿宋_GB2312" w:hAnsi="仿宋_GB2312" w:cs="仿宋_GB2312" w:hint="eastAsia"/>
          <w:color w:val="auto"/>
          <w:spacing w:val="1"/>
          <w:w w:val="100"/>
          <w:highlight w:val="none"/>
          <w:lang w:eastAsia="zh-CN"/>
        </w:rPr>
        <w:t>1.2</w:t>
      </w:r>
      <w:r>
        <w:rPr>
          <w:rFonts w:ascii="仿宋_GB2312" w:eastAsia="仿宋_GB2312" w:hAnsi="仿宋_GB2312" w:cs="仿宋_GB2312" w:hint="eastAsia"/>
          <w:color w:val="auto"/>
          <w:w w:val="100"/>
          <w:highlight w:val="none"/>
          <w:lang w:eastAsia="zh-CN"/>
        </w:rPr>
        <w:t>本细则所称南方区域是指广东、广西、云南、贵州、海南五省（区）在内的南方电网经营区；中长期电能量交易是指交易标的周期为日以上的电能量交易，包括年度（</w:t>
      </w:r>
      <w:r>
        <w:rPr>
          <w:rFonts w:ascii="仿宋_GB2312" w:eastAsia="仿宋_GB2312" w:hAnsi="仿宋_GB2312" w:cs="仿宋_GB2312" w:hint="eastAsia"/>
          <w:color w:val="auto"/>
          <w:w w:val="100"/>
          <w:highlight w:val="none"/>
          <w:lang w:val="en-US" w:eastAsia="zh-CN"/>
        </w:rPr>
        <w:t>多年</w:t>
      </w:r>
      <w:r>
        <w:rPr>
          <w:rFonts w:ascii="仿宋_GB2312" w:eastAsia="仿宋_GB2312" w:hAnsi="仿宋_GB2312" w:cs="仿宋_GB2312" w:hint="eastAsia"/>
          <w:color w:val="auto"/>
          <w:w w:val="100"/>
          <w:highlight w:val="none"/>
          <w:lang w:eastAsia="zh-CN"/>
        </w:rPr>
        <w:t>）、月度（</w:t>
      </w:r>
      <w:r>
        <w:rPr>
          <w:rFonts w:ascii="仿宋_GB2312" w:eastAsia="仿宋_GB2312" w:hAnsi="仿宋_GB2312" w:cs="仿宋_GB2312" w:hint="eastAsia"/>
          <w:color w:val="auto"/>
          <w:w w:val="100"/>
          <w:highlight w:val="none"/>
          <w:lang w:val="en-US" w:eastAsia="zh-CN"/>
        </w:rPr>
        <w:t>多月</w:t>
      </w:r>
      <w:r>
        <w:rPr>
          <w:rFonts w:ascii="仿宋_GB2312" w:eastAsia="仿宋_GB2312" w:hAnsi="仿宋_GB2312" w:cs="仿宋_GB2312" w:hint="eastAsia"/>
          <w:color w:val="auto"/>
          <w:w w:val="100"/>
          <w:highlight w:val="none"/>
          <w:lang w:eastAsia="zh-CN"/>
        </w:rPr>
        <w:t>）、</w:t>
      </w:r>
      <w:r>
        <w:rPr>
          <w:rFonts w:ascii="仿宋_GB2312" w:eastAsia="仿宋_GB2312" w:hAnsi="仿宋_GB2312" w:cs="仿宋_GB2312" w:hint="eastAsia"/>
          <w:color w:val="auto"/>
          <w:w w:val="100"/>
          <w:kern w:val="0"/>
          <w:highlight w:val="none"/>
          <w:lang w:eastAsia="zh-CN"/>
        </w:rPr>
        <w:t>周、</w:t>
      </w:r>
      <w:r>
        <w:rPr>
          <w:rFonts w:ascii="仿宋_GB2312" w:eastAsia="仿宋_GB2312" w:hAnsi="仿宋_GB2312" w:cs="仿宋_GB2312" w:hint="eastAsia"/>
          <w:color w:val="auto"/>
          <w:w w:val="100"/>
          <w:kern w:val="0"/>
          <w:highlight w:val="none"/>
          <w:lang w:val="en-US" w:eastAsia="zh-CN"/>
        </w:rPr>
        <w:t>多日</w:t>
      </w:r>
      <w:r>
        <w:rPr>
          <w:rFonts w:ascii="仿宋_GB2312" w:eastAsia="仿宋_GB2312" w:hAnsi="仿宋_GB2312" w:cs="仿宋_GB2312" w:hint="eastAsia"/>
          <w:color w:val="auto"/>
          <w:w w:val="100"/>
          <w:highlight w:val="none"/>
          <w:lang w:eastAsia="zh-CN"/>
        </w:rPr>
        <w:t>电能量交易</w:t>
      </w:r>
      <w:r>
        <w:rPr>
          <w:rFonts w:ascii="仿宋_GB2312" w:eastAsia="仿宋_GB2312" w:hAnsi="仿宋_GB2312" w:cs="仿宋_GB2312" w:hint="eastAsia"/>
          <w:color w:val="auto"/>
          <w:w w:val="100"/>
          <w:highlight w:val="none"/>
          <w:lang w:val="en-US" w:eastAsia="zh-CN"/>
        </w:rPr>
        <w:t>等</w:t>
      </w:r>
      <w:r>
        <w:rPr>
          <w:rFonts w:ascii="仿宋_GB2312" w:eastAsia="仿宋_GB2312" w:hAnsi="仿宋_GB2312" w:cs="仿宋_GB2312" w:hint="eastAsia"/>
          <w:color w:val="auto"/>
          <w:w w:val="100"/>
          <w:highlight w:val="none"/>
          <w:lang w:eastAsia="zh-CN"/>
        </w:rPr>
        <w:t>。</w:t>
      </w:r>
    </w:p>
    <w:p>
      <w:pPr>
        <w:pStyle w:val="BodyText"/>
        <w:pageBreakBefore w:val="0"/>
        <w:kinsoku/>
        <w:wordWrap/>
        <w:overflowPunct/>
        <w:topLinePunct w:val="0"/>
        <w:autoSpaceDE/>
        <w:autoSpaceDN/>
        <w:bidi w:val="0"/>
        <w:adjustRightInd/>
        <w:spacing w:line="560" w:lineRule="exact"/>
        <w:ind w:left="0" w:right="0" w:firstLine="640" w:firstLineChars="200"/>
        <w:jc w:val="both"/>
        <w:textAlignment w:val="auto"/>
        <w:outlineLvl w:val="9"/>
        <w:rPr>
          <w:rFonts w:ascii="仿宋_GB2312" w:eastAsia="仿宋_GB2312" w:hAnsi="仿宋_GB2312" w:cs="仿宋_GB2312"/>
          <w:color w:val="auto"/>
          <w:w w:val="100"/>
          <w:highlight w:val="none"/>
          <w:lang w:eastAsia="zh-CN"/>
        </w:rPr>
      </w:pPr>
      <w:r>
        <w:rPr>
          <w:rFonts w:ascii="仿宋_GB2312" w:eastAsia="仿宋_GB2312" w:hAnsi="仿宋_GB2312" w:cs="仿宋_GB2312" w:hint="eastAsia"/>
          <w:color w:val="auto"/>
          <w:w w:val="100"/>
          <w:highlight w:val="none"/>
          <w:lang w:eastAsia="zh-CN"/>
        </w:rPr>
        <w:t>1.3本细则按照“安全可靠、竞争有序、低碳绿色、统一规范、协同高效”的原则制定。</w:t>
      </w:r>
    </w:p>
    <w:p>
      <w:pPr>
        <w:pStyle w:val="BodyText"/>
        <w:pageBreakBefore w:val="0"/>
        <w:kinsoku/>
        <w:wordWrap/>
        <w:overflowPunct/>
        <w:topLinePunct w:val="0"/>
        <w:autoSpaceDE/>
        <w:autoSpaceDN/>
        <w:bidi w:val="0"/>
        <w:adjustRightInd/>
        <w:spacing w:line="560" w:lineRule="exact"/>
        <w:ind w:left="0" w:right="0" w:firstLine="640" w:firstLineChars="200"/>
        <w:jc w:val="both"/>
        <w:textAlignment w:val="auto"/>
        <w:outlineLvl w:val="9"/>
        <w:rPr>
          <w:rFonts w:ascii="仿宋_GB2312" w:eastAsia="仿宋_GB2312" w:hAnsi="仿宋_GB2312" w:cs="仿宋_GB2312"/>
          <w:color w:val="auto"/>
          <w:w w:val="100"/>
          <w:highlight w:val="none"/>
          <w:lang w:eastAsia="zh-CN"/>
        </w:rPr>
      </w:pPr>
      <w:r>
        <w:rPr>
          <w:rFonts w:ascii="仿宋_GB2312" w:eastAsia="仿宋_GB2312" w:hAnsi="仿宋_GB2312" w:cs="仿宋_GB2312" w:hint="eastAsia"/>
          <w:color w:val="auto"/>
          <w:w w:val="100"/>
          <w:highlight w:val="none"/>
          <w:lang w:eastAsia="zh-CN"/>
        </w:rPr>
        <w:t>1.4市场成员应严格遵守本细则，自觉自律，不得操纵市场价格、损害其他市场成员的合法权益。任何单位和个人不得非法干预市场正常运行。</w:t>
      </w:r>
    </w:p>
    <w:p>
      <w:pPr>
        <w:pStyle w:val="BodyText"/>
        <w:pageBreakBefore w:val="0"/>
        <w:tabs>
          <w:tab w:val="left" w:pos="659"/>
        </w:tabs>
        <w:kinsoku/>
        <w:wordWrap/>
        <w:overflowPunct/>
        <w:topLinePunct w:val="0"/>
        <w:autoSpaceDE/>
        <w:autoSpaceDN/>
        <w:bidi w:val="0"/>
        <w:adjustRightInd/>
        <w:spacing w:line="560" w:lineRule="exact"/>
        <w:ind w:left="0" w:right="0" w:firstLine="640" w:firstLineChars="200"/>
        <w:jc w:val="both"/>
        <w:textAlignment w:val="auto"/>
        <w:outlineLvl w:val="0"/>
        <w:rPr>
          <w:rFonts w:ascii="黑体" w:eastAsia="黑体" w:hAnsi="黑体" w:cs="黑体" w:hint="default"/>
          <w:b w:val="0"/>
          <w:bCs w:val="0"/>
          <w:color w:val="auto"/>
          <w:w w:val="100"/>
          <w:highlight w:val="none"/>
          <w:lang w:val="en-US" w:eastAsia="zh-CN"/>
        </w:rPr>
      </w:pPr>
      <w:bookmarkStart w:id="9" w:name="_Toc526"/>
      <w:r>
        <w:rPr>
          <w:rFonts w:ascii="黑体" w:eastAsia="黑体" w:hAnsi="黑体" w:cs="黑体" w:hint="eastAsia"/>
          <w:b w:val="0"/>
          <w:bCs w:val="0"/>
          <w:color w:val="auto"/>
          <w:w w:val="100"/>
          <w:highlight w:val="none"/>
          <w:lang w:eastAsia="zh-CN"/>
        </w:rPr>
        <w:t>2.</w:t>
      </w:r>
      <w:bookmarkEnd w:id="9"/>
      <w:r>
        <w:rPr>
          <w:rFonts w:ascii="黑体" w:eastAsia="黑体" w:hAnsi="黑体" w:cs="黑体" w:hint="eastAsia"/>
          <w:b w:val="0"/>
          <w:bCs w:val="0"/>
          <w:color w:val="auto"/>
          <w:spacing w:val="1"/>
          <w:w w:val="100"/>
          <w:highlight w:val="none"/>
          <w:lang w:val="en-US" w:eastAsia="zh-CN"/>
        </w:rPr>
        <w:t>经营主体</w:t>
      </w:r>
    </w:p>
    <w:p>
      <w:pPr>
        <w:pageBreakBefore w:val="0"/>
        <w:kinsoku/>
        <w:wordWrap/>
        <w:overflowPunct/>
        <w:topLinePunct w:val="0"/>
        <w:autoSpaceDE/>
        <w:autoSpaceDN/>
        <w:bidi w:val="0"/>
        <w:adjustRightInd/>
        <w:spacing w:line="560" w:lineRule="exact"/>
        <w:ind w:left="0" w:right="0" w:firstLine="640" w:firstLineChars="200"/>
        <w:jc w:val="both"/>
        <w:textAlignment w:val="auto"/>
        <w:outlineLvl w:val="9"/>
        <w:rPr>
          <w:rFonts w:ascii="仿宋_GB2312" w:eastAsia="仿宋_GB2312" w:hAnsi="仿宋_GB2312" w:cs="仿宋_GB2312"/>
          <w:color w:val="auto"/>
          <w:w w:val="100"/>
          <w:sz w:val="32"/>
          <w:szCs w:val="32"/>
          <w:highlight w:val="none"/>
          <w:lang w:eastAsia="zh-CN"/>
        </w:rPr>
      </w:pPr>
      <w:r>
        <w:rPr>
          <w:rFonts w:ascii="仿宋_GB2312" w:eastAsia="仿宋_GB2312" w:hAnsi="仿宋_GB2312" w:cs="仿宋_GB2312" w:hint="eastAsia"/>
          <w:color w:val="auto"/>
          <w:w w:val="100"/>
          <w:sz w:val="32"/>
          <w:szCs w:val="32"/>
          <w:highlight w:val="none"/>
          <w:lang w:eastAsia="zh-CN"/>
        </w:rPr>
        <w:t>2.1参与海南电力市场中长期电能量交易的经营主体包括符合准入条件，并完成准入注册的各类电力用户、售电公司、发电企业</w:t>
      </w:r>
      <w:r>
        <w:rPr>
          <w:rFonts w:ascii="仿宋_GB2312" w:eastAsia="仿宋_GB2312" w:hAnsi="仿宋_GB2312" w:cs="仿宋_GB2312" w:hint="eastAsia"/>
          <w:color w:val="auto"/>
          <w:w w:val="100"/>
          <w:sz w:val="32"/>
          <w:szCs w:val="32"/>
          <w:highlight w:val="none"/>
          <w:lang w:val="en-US" w:eastAsia="zh-CN"/>
        </w:rPr>
        <w:t>和独立储能等</w:t>
      </w:r>
      <w:r>
        <w:rPr>
          <w:rFonts w:ascii="仿宋_GB2312" w:eastAsia="仿宋_GB2312" w:hAnsi="仿宋_GB2312" w:cs="仿宋_GB2312" w:hint="eastAsia"/>
          <w:color w:val="auto"/>
          <w:w w:val="100"/>
          <w:sz w:val="32"/>
          <w:szCs w:val="32"/>
          <w:highlight w:val="none"/>
          <w:lang w:eastAsia="zh-CN"/>
        </w:rPr>
        <w:t>。根据市场发展情况，逐步引入</w:t>
      </w:r>
      <w:r>
        <w:rPr>
          <w:rFonts w:ascii="仿宋_GB2312" w:eastAsia="仿宋_GB2312" w:hAnsi="仿宋_GB2312" w:cs="仿宋_GB2312" w:hint="eastAsia"/>
          <w:color w:val="auto"/>
          <w:w w:val="100"/>
          <w:sz w:val="32"/>
          <w:szCs w:val="32"/>
          <w:highlight w:val="none"/>
          <w:lang w:val="en-US" w:eastAsia="zh-CN"/>
        </w:rPr>
        <w:t>其他新型经营主体</w:t>
      </w:r>
      <w:r>
        <w:rPr>
          <w:rFonts w:ascii="仿宋_GB2312" w:eastAsia="仿宋_GB2312" w:hAnsi="仿宋_GB2312" w:cs="仿宋_GB2312" w:hint="eastAsia"/>
          <w:color w:val="auto"/>
          <w:w w:val="100"/>
          <w:sz w:val="32"/>
          <w:szCs w:val="32"/>
          <w:highlight w:val="none"/>
          <w:lang w:eastAsia="zh-CN"/>
        </w:rPr>
        <w:t>。</w:t>
      </w:r>
    </w:p>
    <w:p>
      <w:pPr>
        <w:pageBreakBefore w:val="0"/>
        <w:kinsoku/>
        <w:wordWrap/>
        <w:overflowPunct/>
        <w:topLinePunct w:val="0"/>
        <w:autoSpaceDE/>
        <w:autoSpaceDN/>
        <w:bidi w:val="0"/>
        <w:adjustRightInd/>
        <w:spacing w:line="560" w:lineRule="exact"/>
        <w:ind w:left="0" w:right="0" w:firstLine="640" w:firstLineChars="200"/>
        <w:jc w:val="both"/>
        <w:textAlignment w:val="auto"/>
        <w:outlineLvl w:val="9"/>
        <w:rPr>
          <w:rFonts w:ascii="仿宋_GB2312" w:eastAsia="仿宋_GB2312" w:hAnsi="仿宋_GB2312" w:cs="仿宋_GB2312"/>
          <w:color w:val="auto"/>
          <w:w w:val="100"/>
          <w:sz w:val="32"/>
          <w:szCs w:val="32"/>
          <w:highlight w:val="none"/>
          <w:lang w:eastAsia="zh-CN"/>
        </w:rPr>
      </w:pPr>
      <w:r>
        <w:rPr>
          <w:rFonts w:ascii="仿宋_GB2312" w:eastAsia="仿宋_GB2312" w:hAnsi="仿宋_GB2312" w:cs="仿宋_GB2312" w:hint="eastAsia"/>
          <w:color w:val="auto"/>
          <w:w w:val="100"/>
          <w:sz w:val="32"/>
          <w:szCs w:val="32"/>
          <w:highlight w:val="none"/>
          <w:lang w:eastAsia="zh-CN"/>
        </w:rPr>
        <w:t>2.2海南省内</w:t>
      </w:r>
      <w:r>
        <w:rPr>
          <w:rFonts w:ascii="仿宋_GB2312" w:eastAsia="仿宋_GB2312" w:hAnsi="仿宋_GB2312" w:cs="仿宋_GB2312" w:hint="eastAsia"/>
          <w:color w:val="auto"/>
          <w:w w:val="100"/>
          <w:sz w:val="32"/>
          <w:szCs w:val="32"/>
          <w:highlight w:val="none"/>
          <w:lang w:val="en-US" w:eastAsia="zh-CN"/>
        </w:rPr>
        <w:t>市场成员</w:t>
      </w:r>
      <w:r>
        <w:rPr>
          <w:rFonts w:ascii="仿宋_GB2312" w:eastAsia="仿宋_GB2312" w:hAnsi="仿宋_GB2312" w:cs="仿宋_GB2312" w:hint="eastAsia"/>
          <w:color w:val="auto"/>
          <w:w w:val="100"/>
          <w:sz w:val="32"/>
          <w:szCs w:val="32"/>
          <w:highlight w:val="none"/>
          <w:lang w:eastAsia="zh-CN"/>
        </w:rPr>
        <w:t>在广州电力交易中心履行注册登记手续后，即获得跨省电力中长期交易资格。各</w:t>
      </w:r>
      <w:r>
        <w:rPr>
          <w:rFonts w:ascii="仿宋_GB2312" w:eastAsia="仿宋_GB2312" w:hAnsi="仿宋_GB2312" w:cs="仿宋_GB2312" w:hint="eastAsia"/>
          <w:color w:val="auto"/>
          <w:w w:val="100"/>
          <w:sz w:val="32"/>
          <w:szCs w:val="32"/>
          <w:highlight w:val="none"/>
          <w:lang w:val="en-US" w:eastAsia="zh-CN"/>
        </w:rPr>
        <w:t>市场成员</w:t>
      </w:r>
      <w:r>
        <w:rPr>
          <w:rFonts w:ascii="仿宋_GB2312" w:eastAsia="仿宋_GB2312" w:hAnsi="仿宋_GB2312" w:cs="仿宋_GB2312" w:hint="eastAsia"/>
          <w:color w:val="auto"/>
          <w:w w:val="100"/>
          <w:sz w:val="32"/>
          <w:szCs w:val="32"/>
          <w:highlight w:val="none"/>
          <w:lang w:eastAsia="zh-CN"/>
        </w:rPr>
        <w:t>在履行省</w:t>
      </w:r>
      <w:r>
        <w:rPr>
          <w:rFonts w:ascii="仿宋_GB2312" w:eastAsia="仿宋_GB2312" w:hAnsi="仿宋_GB2312" w:cs="仿宋_GB2312" w:hint="eastAsia"/>
          <w:color w:val="auto"/>
          <w:w w:val="100"/>
          <w:sz w:val="32"/>
          <w:szCs w:val="32"/>
          <w:highlight w:val="none"/>
          <w:lang w:val="en-US" w:eastAsia="zh-CN"/>
        </w:rPr>
        <w:t>级</w:t>
      </w:r>
      <w:r>
        <w:rPr>
          <w:rFonts w:ascii="仿宋_GB2312" w:eastAsia="仿宋_GB2312" w:hAnsi="仿宋_GB2312" w:cs="仿宋_GB2312" w:hint="eastAsia"/>
          <w:color w:val="auto"/>
          <w:w w:val="100"/>
          <w:sz w:val="32"/>
          <w:szCs w:val="32"/>
          <w:highlight w:val="none"/>
          <w:lang w:eastAsia="zh-CN"/>
        </w:rPr>
        <w:t>能源主管部门明确的保供应、保安全、保消纳要求前提下，可自主选择参与跨省电力中长期交易。</w:t>
      </w:r>
    </w:p>
    <w:p>
      <w:pPr>
        <w:pageBreakBefore w:val="0"/>
        <w:kinsoku/>
        <w:wordWrap/>
        <w:overflowPunct/>
        <w:topLinePunct w:val="0"/>
        <w:autoSpaceDE/>
        <w:autoSpaceDN/>
        <w:bidi w:val="0"/>
        <w:adjustRightInd/>
        <w:spacing w:line="560" w:lineRule="exact"/>
        <w:ind w:left="0" w:right="0" w:firstLine="640" w:firstLineChars="200"/>
        <w:jc w:val="both"/>
        <w:textAlignment w:val="auto"/>
        <w:outlineLvl w:val="9"/>
        <w:rPr>
          <w:rFonts w:ascii="仿宋_GB2312" w:eastAsia="仿宋_GB2312" w:hAnsi="仿宋_GB2312" w:cs="仿宋_GB2312"/>
          <w:color w:val="auto"/>
          <w:w w:val="100"/>
          <w:sz w:val="32"/>
          <w:szCs w:val="32"/>
          <w:highlight w:val="none"/>
          <w:lang w:eastAsia="zh-CN"/>
        </w:rPr>
      </w:pPr>
      <w:r>
        <w:rPr>
          <w:rFonts w:ascii="仿宋_GB2312" w:eastAsia="仿宋_GB2312" w:hAnsi="仿宋_GB2312" w:cs="仿宋_GB2312" w:hint="eastAsia"/>
          <w:color w:val="auto"/>
          <w:w w:val="100"/>
          <w:sz w:val="32"/>
          <w:szCs w:val="32"/>
          <w:highlight w:val="none"/>
          <w:lang w:eastAsia="zh-CN"/>
        </w:rPr>
        <w:t>2.</w:t>
      </w:r>
      <w:r>
        <w:rPr>
          <w:rFonts w:ascii="仿宋_GB2312" w:eastAsia="仿宋_GB2312" w:hAnsi="仿宋_GB2312" w:cs="仿宋_GB2312" w:hint="eastAsia"/>
          <w:color w:val="auto"/>
          <w:w w:val="100"/>
          <w:sz w:val="32"/>
          <w:szCs w:val="32"/>
          <w:highlight w:val="none"/>
          <w:lang w:val="en-US" w:eastAsia="zh-CN"/>
        </w:rPr>
        <w:t>3</w:t>
      </w:r>
      <w:r>
        <w:rPr>
          <w:rFonts w:ascii="仿宋_GB2312" w:eastAsia="仿宋_GB2312" w:hAnsi="仿宋_GB2312" w:cs="仿宋_GB2312" w:hint="eastAsia"/>
          <w:color w:val="auto"/>
          <w:w w:val="100"/>
          <w:sz w:val="32"/>
          <w:szCs w:val="32"/>
          <w:highlight w:val="none"/>
          <w:lang w:eastAsia="zh-CN"/>
        </w:rPr>
        <w:t>海南电力交易中心按照“谁运营、谁监控，谁运营、谁防范”的原则，根据国家和政府有关规定履行市场运营监控和风险防控职责，采取有效风险防控措施。</w:t>
      </w:r>
    </w:p>
    <w:p>
      <w:pPr>
        <w:pageBreakBefore w:val="0"/>
        <w:kinsoku/>
        <w:wordWrap/>
        <w:overflowPunct/>
        <w:topLinePunct w:val="0"/>
        <w:autoSpaceDE/>
        <w:autoSpaceDN/>
        <w:bidi w:val="0"/>
        <w:adjustRightInd/>
        <w:spacing w:line="560" w:lineRule="exact"/>
        <w:ind w:left="0" w:right="0" w:firstLine="640" w:firstLineChars="200"/>
        <w:jc w:val="both"/>
        <w:textAlignment w:val="auto"/>
        <w:outlineLvl w:val="9"/>
        <w:rPr>
          <w:rFonts w:ascii="仿宋_GB2312" w:eastAsia="仿宋_GB2312" w:hAnsi="仿宋_GB2312" w:cs="仿宋_GB2312"/>
          <w:color w:val="auto"/>
          <w:w w:val="100"/>
          <w:sz w:val="32"/>
          <w:szCs w:val="32"/>
          <w:highlight w:val="none"/>
          <w:lang w:eastAsia="zh-CN"/>
        </w:rPr>
      </w:pPr>
      <w:r>
        <w:rPr>
          <w:rFonts w:ascii="仿宋_GB2312" w:eastAsia="仿宋_GB2312" w:hAnsi="仿宋_GB2312" w:cs="仿宋_GB2312" w:hint="eastAsia"/>
          <w:color w:val="auto"/>
          <w:w w:val="100"/>
          <w:sz w:val="32"/>
          <w:szCs w:val="32"/>
          <w:highlight w:val="none"/>
          <w:lang w:eastAsia="zh-CN"/>
        </w:rPr>
        <w:t>2.</w:t>
      </w:r>
      <w:r>
        <w:rPr>
          <w:rFonts w:ascii="仿宋_GB2312" w:eastAsia="仿宋_GB2312" w:hAnsi="仿宋_GB2312" w:cs="仿宋_GB2312" w:hint="eastAsia"/>
          <w:color w:val="auto"/>
          <w:w w:val="100"/>
          <w:sz w:val="32"/>
          <w:szCs w:val="32"/>
          <w:highlight w:val="none"/>
          <w:lang w:val="en-US" w:eastAsia="zh-CN"/>
        </w:rPr>
        <w:t>4</w:t>
      </w:r>
      <w:r>
        <w:rPr>
          <w:rFonts w:ascii="仿宋_GB2312" w:eastAsia="仿宋_GB2312" w:hAnsi="仿宋_GB2312" w:cs="仿宋_GB2312" w:hint="eastAsia"/>
          <w:color w:val="auto"/>
          <w:w w:val="100"/>
          <w:sz w:val="32"/>
          <w:szCs w:val="32"/>
          <w:highlight w:val="none"/>
          <w:lang w:eastAsia="zh-CN"/>
        </w:rPr>
        <w:t>海南电力交易中心根据南方区域统一的经营主体信用评价制度，统一</w:t>
      </w:r>
      <w:r>
        <w:rPr>
          <w:rFonts w:ascii="仿宋_GB2312" w:eastAsia="仿宋_GB2312" w:hAnsi="仿宋_GB2312" w:cs="仿宋_GB2312" w:hint="eastAsia"/>
          <w:color w:val="auto"/>
          <w:w w:val="100"/>
          <w:sz w:val="32"/>
          <w:szCs w:val="32"/>
          <w:highlight w:val="none"/>
          <w:lang w:val="en-US" w:eastAsia="zh-CN"/>
        </w:rPr>
        <w:t>各类</w:t>
      </w:r>
      <w:r>
        <w:rPr>
          <w:rFonts w:ascii="仿宋_GB2312" w:eastAsia="仿宋_GB2312" w:hAnsi="仿宋_GB2312" w:cs="仿宋_GB2312" w:hint="eastAsia"/>
          <w:color w:val="auto"/>
          <w:w w:val="100"/>
          <w:sz w:val="32"/>
          <w:szCs w:val="32"/>
          <w:highlight w:val="none"/>
          <w:lang w:eastAsia="zh-CN"/>
        </w:rPr>
        <w:t>经营主体信用等级评价标准，定期评价</w:t>
      </w:r>
      <w:r>
        <w:rPr>
          <w:rFonts w:ascii="仿宋_GB2312" w:eastAsia="仿宋_GB2312" w:hAnsi="仿宋_GB2312" w:cs="仿宋_GB2312" w:hint="eastAsia"/>
          <w:color w:val="auto"/>
          <w:w w:val="100"/>
          <w:sz w:val="32"/>
          <w:szCs w:val="32"/>
          <w:highlight w:val="none"/>
          <w:lang w:val="en-US" w:eastAsia="zh-CN"/>
        </w:rPr>
        <w:t>各类</w:t>
      </w:r>
      <w:r>
        <w:rPr>
          <w:rFonts w:ascii="仿宋_GB2312" w:eastAsia="仿宋_GB2312" w:hAnsi="仿宋_GB2312" w:cs="仿宋_GB2312" w:hint="eastAsia"/>
          <w:color w:val="auto"/>
          <w:w w:val="100"/>
          <w:sz w:val="32"/>
          <w:szCs w:val="32"/>
          <w:highlight w:val="none"/>
          <w:lang w:eastAsia="zh-CN"/>
        </w:rPr>
        <w:t>经营主体信用状况，</w:t>
      </w:r>
      <w:r>
        <w:rPr>
          <w:rFonts w:ascii="仿宋_GB2312" w:eastAsia="仿宋_GB2312" w:hAnsi="仿宋_GB2312" w:cs="仿宋_GB2312" w:hint="eastAsia"/>
          <w:color w:val="auto"/>
          <w:w w:val="100"/>
          <w:sz w:val="32"/>
          <w:szCs w:val="32"/>
          <w:highlight w:val="none"/>
          <w:lang w:val="en-US" w:eastAsia="zh-CN"/>
        </w:rPr>
        <w:t>信用状况的应用按信用评价制度等有关规定执行</w:t>
      </w:r>
      <w:r>
        <w:rPr>
          <w:rFonts w:ascii="仿宋_GB2312" w:eastAsia="仿宋_GB2312" w:hAnsi="仿宋_GB2312" w:cs="仿宋_GB2312" w:hint="eastAsia"/>
          <w:color w:val="auto"/>
          <w:w w:val="100"/>
          <w:sz w:val="32"/>
          <w:szCs w:val="32"/>
          <w:highlight w:val="none"/>
          <w:lang w:eastAsia="zh-CN"/>
        </w:rPr>
        <w:t>。</w:t>
      </w:r>
    </w:p>
    <w:p>
      <w:pPr>
        <w:pageBreakBefore w:val="0"/>
        <w:kinsoku/>
        <w:wordWrap/>
        <w:overflowPunct/>
        <w:topLinePunct w:val="0"/>
        <w:autoSpaceDE/>
        <w:autoSpaceDN/>
        <w:bidi w:val="0"/>
        <w:adjustRightInd/>
        <w:spacing w:line="560" w:lineRule="exact"/>
        <w:ind w:left="0" w:right="0" w:firstLine="640" w:firstLineChars="200"/>
        <w:jc w:val="both"/>
        <w:textAlignment w:val="auto"/>
        <w:outlineLvl w:val="9"/>
        <w:rPr>
          <w:rFonts w:ascii="仿宋_GB2312" w:eastAsia="仿宋_GB2312" w:hAnsi="仿宋_GB2312" w:cs="仿宋_GB2312"/>
          <w:color w:val="auto"/>
          <w:w w:val="100"/>
          <w:sz w:val="32"/>
          <w:szCs w:val="32"/>
          <w:highlight w:val="none"/>
          <w:lang w:eastAsia="zh-CN"/>
        </w:rPr>
      </w:pPr>
      <w:r>
        <w:rPr>
          <w:rFonts w:ascii="仿宋_GB2312" w:eastAsia="仿宋_GB2312" w:hAnsi="仿宋_GB2312" w:cs="仿宋_GB2312" w:hint="eastAsia"/>
          <w:color w:val="auto"/>
          <w:w w:val="100"/>
          <w:sz w:val="32"/>
          <w:szCs w:val="32"/>
          <w:highlight w:val="none"/>
          <w:lang w:eastAsia="zh-CN"/>
        </w:rPr>
        <w:t>2.</w:t>
      </w:r>
      <w:r>
        <w:rPr>
          <w:rFonts w:ascii="仿宋_GB2312" w:eastAsia="仿宋_GB2312" w:hAnsi="仿宋_GB2312" w:cs="仿宋_GB2312" w:hint="eastAsia"/>
          <w:color w:val="auto"/>
          <w:w w:val="100"/>
          <w:sz w:val="32"/>
          <w:szCs w:val="32"/>
          <w:highlight w:val="none"/>
          <w:lang w:val="en-US" w:eastAsia="zh-CN"/>
        </w:rPr>
        <w:t>5</w:t>
      </w:r>
      <w:r>
        <w:rPr>
          <w:rFonts w:ascii="仿宋_GB2312" w:eastAsia="仿宋_GB2312" w:hAnsi="仿宋_GB2312" w:cs="仿宋_GB2312" w:hint="eastAsia"/>
          <w:color w:val="auto"/>
          <w:w w:val="100"/>
          <w:sz w:val="32"/>
          <w:szCs w:val="32"/>
          <w:highlight w:val="none"/>
          <w:lang w:eastAsia="zh-CN"/>
        </w:rPr>
        <w:t>海南电力交易中心负责做好电力交易相关数据存储，确保信用管理基础数据和信息可查询、可追溯，接受</w:t>
      </w:r>
      <w:r>
        <w:rPr>
          <w:rFonts w:ascii="仿宋_GB2312" w:eastAsia="仿宋_GB2312" w:hAnsi="仿宋_GB2312" w:cs="仿宋_GB2312" w:hint="eastAsia"/>
          <w:color w:val="auto"/>
          <w:w w:val="100"/>
          <w:sz w:val="32"/>
          <w:szCs w:val="32"/>
          <w:highlight w:val="none"/>
          <w:lang w:val="en-US" w:eastAsia="zh-CN"/>
        </w:rPr>
        <w:t>各市场成员</w:t>
      </w:r>
      <w:r>
        <w:rPr>
          <w:rFonts w:ascii="仿宋_GB2312" w:eastAsia="仿宋_GB2312" w:hAnsi="仿宋_GB2312" w:cs="仿宋_GB2312" w:hint="eastAsia"/>
          <w:color w:val="auto"/>
          <w:w w:val="100"/>
          <w:sz w:val="32"/>
          <w:szCs w:val="32"/>
          <w:highlight w:val="none"/>
          <w:lang w:eastAsia="zh-CN"/>
        </w:rPr>
        <w:t>的监督与质询，相关数据保留或可供查询的时间不少于2年，且封存期限为5年。</w:t>
      </w:r>
    </w:p>
    <w:p>
      <w:pPr>
        <w:pStyle w:val="BodyText"/>
        <w:pageBreakBefore w:val="0"/>
        <w:tabs>
          <w:tab w:val="left" w:pos="659"/>
        </w:tabs>
        <w:kinsoku/>
        <w:wordWrap/>
        <w:overflowPunct/>
        <w:topLinePunct w:val="0"/>
        <w:autoSpaceDE/>
        <w:autoSpaceDN/>
        <w:bidi w:val="0"/>
        <w:adjustRightInd/>
        <w:spacing w:line="560" w:lineRule="exact"/>
        <w:ind w:left="0" w:right="0" w:firstLine="640" w:firstLineChars="200"/>
        <w:jc w:val="both"/>
        <w:textAlignment w:val="auto"/>
        <w:outlineLvl w:val="0"/>
        <w:rPr>
          <w:rFonts w:ascii="黑体" w:eastAsia="黑体" w:hAnsi="黑体" w:cs="黑体" w:hint="eastAsia"/>
          <w:b w:val="0"/>
          <w:bCs w:val="0"/>
          <w:color w:val="auto"/>
          <w:w w:val="100"/>
          <w:highlight w:val="none"/>
          <w:lang w:eastAsia="zh-CN"/>
        </w:rPr>
      </w:pPr>
      <w:bookmarkStart w:id="10" w:name="_Toc11619"/>
      <w:r>
        <w:rPr>
          <w:rFonts w:ascii="黑体" w:eastAsia="黑体" w:hAnsi="黑体" w:cs="黑体" w:hint="eastAsia"/>
          <w:b w:val="0"/>
          <w:bCs w:val="0"/>
          <w:color w:val="auto"/>
          <w:w w:val="100"/>
          <w:highlight w:val="none"/>
          <w:lang w:eastAsia="zh-CN"/>
        </w:rPr>
        <w:t>3.基本要求</w:t>
      </w:r>
      <w:bookmarkEnd w:id="10"/>
    </w:p>
    <w:p>
      <w:pPr>
        <w:pStyle w:val="BodyText"/>
        <w:pageBreakBefore w:val="0"/>
        <w:kinsoku/>
        <w:wordWrap/>
        <w:overflowPunct/>
        <w:topLinePunct w:val="0"/>
        <w:autoSpaceDE/>
        <w:autoSpaceDN/>
        <w:bidi w:val="0"/>
        <w:adjustRightInd/>
        <w:spacing w:line="560" w:lineRule="exact"/>
        <w:ind w:left="0" w:right="0" w:firstLine="640" w:firstLineChars="200"/>
        <w:jc w:val="both"/>
        <w:textAlignment w:val="auto"/>
        <w:outlineLvl w:val="1"/>
        <w:rPr>
          <w:rFonts w:ascii="仿宋_GB2312" w:eastAsia="仿宋_GB2312" w:hAnsi="仿宋_GB2312" w:cs="仿宋_GB2312"/>
          <w:b/>
          <w:bCs/>
          <w:color w:val="auto"/>
          <w:w w:val="100"/>
          <w:highlight w:val="none"/>
          <w:lang w:eastAsia="zh-CN"/>
        </w:rPr>
      </w:pPr>
      <w:r>
        <w:rPr>
          <w:rFonts w:ascii="仿宋_GB2312" w:eastAsia="仿宋_GB2312" w:hAnsi="仿宋_GB2312" w:cs="仿宋_GB2312" w:hint="eastAsia"/>
          <w:b/>
          <w:bCs/>
          <w:color w:val="auto"/>
          <w:spacing w:val="1"/>
          <w:w w:val="100"/>
          <w:highlight w:val="none"/>
          <w:lang w:eastAsia="zh-CN"/>
        </w:rPr>
        <w:t>3</w:t>
      </w:r>
      <w:r>
        <w:rPr>
          <w:rFonts w:ascii="仿宋_GB2312" w:eastAsia="仿宋_GB2312" w:hAnsi="仿宋_GB2312" w:cs="仿宋_GB2312" w:hint="eastAsia"/>
          <w:b/>
          <w:bCs/>
          <w:color w:val="auto"/>
          <w:spacing w:val="-1"/>
          <w:w w:val="100"/>
          <w:highlight w:val="none"/>
          <w:lang w:eastAsia="zh-CN"/>
        </w:rPr>
        <w:t>.</w:t>
      </w:r>
      <w:r>
        <w:rPr>
          <w:rFonts w:ascii="仿宋_GB2312" w:eastAsia="仿宋_GB2312" w:hAnsi="仿宋_GB2312" w:cs="仿宋_GB2312" w:hint="eastAsia"/>
          <w:b/>
          <w:bCs/>
          <w:color w:val="auto"/>
          <w:w w:val="100"/>
          <w:highlight w:val="none"/>
          <w:lang w:eastAsia="zh-CN"/>
        </w:rPr>
        <w:t>1</w:t>
      </w:r>
      <w:bookmarkStart w:id="11" w:name="5.1交易方式"/>
      <w:bookmarkEnd w:id="11"/>
      <w:bookmarkStart w:id="12" w:name="_bookmark5"/>
      <w:bookmarkEnd w:id="12"/>
      <w:r>
        <w:rPr>
          <w:rFonts w:ascii="仿宋_GB2312" w:eastAsia="仿宋_GB2312" w:hAnsi="仿宋_GB2312" w:cs="仿宋_GB2312" w:hint="eastAsia"/>
          <w:b/>
          <w:bCs/>
          <w:color w:val="auto"/>
          <w:w w:val="100"/>
          <w:highlight w:val="none"/>
          <w:lang w:eastAsia="zh-CN"/>
        </w:rPr>
        <w:t>交</w:t>
      </w:r>
      <w:r>
        <w:rPr>
          <w:rFonts w:ascii="仿宋_GB2312" w:eastAsia="仿宋_GB2312" w:hAnsi="仿宋_GB2312" w:cs="仿宋_GB2312" w:hint="eastAsia"/>
          <w:b/>
          <w:bCs/>
          <w:color w:val="auto"/>
          <w:spacing w:val="2"/>
          <w:w w:val="100"/>
          <w:highlight w:val="none"/>
          <w:lang w:eastAsia="zh-CN"/>
        </w:rPr>
        <w:t>易</w:t>
      </w:r>
      <w:r>
        <w:rPr>
          <w:rFonts w:ascii="仿宋_GB2312" w:eastAsia="仿宋_GB2312" w:hAnsi="仿宋_GB2312" w:cs="仿宋_GB2312" w:hint="eastAsia"/>
          <w:b/>
          <w:bCs/>
          <w:color w:val="auto"/>
          <w:w w:val="100"/>
          <w:highlight w:val="none"/>
          <w:lang w:eastAsia="zh-CN"/>
        </w:rPr>
        <w:t>品种库</w:t>
      </w:r>
    </w:p>
    <w:p>
      <w:pPr>
        <w:pStyle w:val="16"/>
        <w:pageBreakBefore w:val="0"/>
        <w:kinsoku/>
        <w:wordWrap/>
        <w:overflowPunct/>
        <w:topLinePunct w:val="0"/>
        <w:autoSpaceDE/>
        <w:autoSpaceDN/>
        <w:bidi w:val="0"/>
        <w:adjustRightInd/>
        <w:spacing w:line="560" w:lineRule="exact"/>
        <w:ind w:left="0" w:right="0" w:firstLine="640" w:firstLineChars="200"/>
        <w:jc w:val="both"/>
        <w:textAlignment w:val="auto"/>
        <w:rPr>
          <w:rFonts w:hAnsi="仿宋_GB2312" w:cs="仿宋_GB2312"/>
          <w:color w:val="auto"/>
          <w:w w:val="100"/>
          <w:highlight w:val="none"/>
        </w:rPr>
      </w:pPr>
      <w:bookmarkStart w:id="13" w:name="_Hlk105486150"/>
      <w:r>
        <w:rPr>
          <w:rFonts w:ascii="仿宋_GB2312" w:eastAsia="仿宋_GB2312" w:hAnsi="仿宋_GB2312" w:cs="仿宋_GB2312" w:hint="eastAsia"/>
          <w:color w:val="auto"/>
          <w:w w:val="100"/>
          <w:sz w:val="32"/>
          <w:szCs w:val="32"/>
          <w:highlight w:val="none"/>
          <w:lang w:eastAsia="zh-CN"/>
        </w:rPr>
        <w:t>海南电力市场中长期电能量交易</w:t>
      </w:r>
      <w:r>
        <w:rPr>
          <w:rFonts w:hAnsi="仿宋_GB2312" w:cs="仿宋_GB2312" w:hint="eastAsia"/>
          <w:color w:val="auto"/>
          <w:w w:val="100"/>
          <w:highlight w:val="none"/>
        </w:rPr>
        <w:t>根据</w:t>
      </w:r>
      <w:r>
        <w:rPr>
          <w:rFonts w:hAnsi="仿宋_GB2312" w:cs="仿宋_GB2312" w:hint="eastAsia"/>
          <w:color w:val="auto"/>
          <w:w w:val="100"/>
          <w:kern w:val="0"/>
          <w:highlight w:val="none"/>
        </w:rPr>
        <w:t>南方区域电力市场中长期电能量交易统一品种库，结合海南电力市场实际，形成省内各类</w:t>
      </w:r>
      <w:r>
        <w:rPr>
          <w:rFonts w:hAnsi="仿宋_GB2312" w:cs="仿宋_GB2312" w:hint="eastAsia"/>
          <w:color w:val="auto"/>
          <w:w w:val="100"/>
          <w:kern w:val="0"/>
          <w:highlight w:val="none"/>
          <w:lang w:val="en-US" w:eastAsia="zh-CN"/>
        </w:rPr>
        <w:t>电力中长期</w:t>
      </w:r>
      <w:r>
        <w:rPr>
          <w:rFonts w:hAnsi="仿宋_GB2312" w:cs="仿宋_GB2312" w:hint="eastAsia"/>
          <w:color w:val="auto"/>
          <w:w w:val="100"/>
          <w:kern w:val="0"/>
          <w:highlight w:val="none"/>
        </w:rPr>
        <w:t>电能量交易品种</w:t>
      </w:r>
      <w:r>
        <w:rPr>
          <w:rFonts w:hAnsi="仿宋_GB2312" w:cs="仿宋_GB2312" w:hint="eastAsia"/>
          <w:color w:val="auto"/>
          <w:w w:val="100"/>
          <w:highlight w:val="none"/>
        </w:rPr>
        <w:t>。</w:t>
      </w:r>
    </w:p>
    <w:p>
      <w:pPr>
        <w:pStyle w:val="BodyText"/>
        <w:pageBreakBefore w:val="0"/>
        <w:kinsoku/>
        <w:wordWrap/>
        <w:overflowPunct/>
        <w:topLinePunct w:val="0"/>
        <w:autoSpaceDE/>
        <w:autoSpaceDN/>
        <w:bidi w:val="0"/>
        <w:adjustRightInd/>
        <w:spacing w:line="560" w:lineRule="exact"/>
        <w:ind w:left="0" w:right="0" w:firstLine="640" w:firstLineChars="200"/>
        <w:jc w:val="both"/>
        <w:textAlignment w:val="auto"/>
        <w:outlineLvl w:val="2"/>
        <w:rPr>
          <w:rFonts w:ascii="仿宋_GB2312" w:eastAsia="仿宋_GB2312" w:hAnsi="仿宋_GB2312" w:cs="仿宋_GB2312"/>
          <w:color w:val="auto"/>
          <w:w w:val="100"/>
          <w:highlight w:val="none"/>
          <w:lang w:eastAsia="zh-CN"/>
        </w:rPr>
      </w:pPr>
      <w:r>
        <w:rPr>
          <w:rFonts w:ascii="仿宋_GB2312" w:eastAsia="仿宋_GB2312" w:hAnsi="仿宋_GB2312" w:cs="仿宋_GB2312" w:hint="eastAsia"/>
          <w:color w:val="auto"/>
          <w:w w:val="100"/>
          <w:highlight w:val="none"/>
          <w:lang w:eastAsia="zh-CN"/>
        </w:rPr>
        <w:t>3.1.1执行周期</w:t>
      </w:r>
    </w:p>
    <w:p>
      <w:pPr>
        <w:pStyle w:val="16"/>
        <w:pageBreakBefore w:val="0"/>
        <w:kinsoku/>
        <w:wordWrap/>
        <w:overflowPunct/>
        <w:topLinePunct w:val="0"/>
        <w:autoSpaceDE/>
        <w:autoSpaceDN/>
        <w:bidi w:val="0"/>
        <w:adjustRightInd/>
        <w:spacing w:line="560" w:lineRule="exact"/>
        <w:ind w:left="0" w:right="0" w:firstLine="640" w:firstLineChars="200"/>
        <w:jc w:val="both"/>
        <w:textAlignment w:val="auto"/>
        <w:outlineLvl w:val="9"/>
        <w:rPr>
          <w:rFonts w:hAnsi="仿宋_GB2312" w:cs="仿宋_GB2312" w:hint="eastAsia"/>
          <w:color w:val="auto"/>
          <w:w w:val="100"/>
          <w:kern w:val="44"/>
          <w:highlight w:val="none"/>
        </w:rPr>
      </w:pPr>
      <w:r>
        <w:rPr>
          <w:rFonts w:hAnsi="仿宋_GB2312" w:cs="仿宋_GB2312" w:hint="eastAsia"/>
          <w:color w:val="auto"/>
          <w:w w:val="100"/>
          <w:kern w:val="44"/>
          <w:highlight w:val="none"/>
        </w:rPr>
        <w:t>根据交易标的物执行周期不同，海南中长期电能量交易品种划分为年</w:t>
      </w:r>
      <w:r>
        <w:rPr>
          <w:rFonts w:hAnsi="仿宋_GB2312" w:cs="仿宋_GB2312" w:hint="eastAsia"/>
          <w:color w:val="auto"/>
          <w:w w:val="100"/>
          <w:kern w:val="44"/>
          <w:highlight w:val="none"/>
          <w:lang w:val="en-US" w:eastAsia="zh-CN"/>
        </w:rPr>
        <w:t>度（多年）</w:t>
      </w:r>
      <w:r>
        <w:rPr>
          <w:rFonts w:hAnsi="仿宋_GB2312" w:cs="仿宋_GB2312" w:hint="eastAsia"/>
          <w:color w:val="auto"/>
          <w:w w:val="100"/>
          <w:kern w:val="44"/>
          <w:highlight w:val="none"/>
        </w:rPr>
        <w:t>、月</w:t>
      </w:r>
      <w:r>
        <w:rPr>
          <w:rFonts w:hAnsi="仿宋_GB2312" w:cs="仿宋_GB2312" w:hint="eastAsia"/>
          <w:color w:val="auto"/>
          <w:w w:val="100"/>
          <w:kern w:val="44"/>
          <w:highlight w:val="none"/>
          <w:lang w:val="en-US" w:eastAsia="zh-CN"/>
        </w:rPr>
        <w:t>度</w:t>
      </w:r>
      <w:r>
        <w:rPr>
          <w:rFonts w:hAnsi="仿宋_GB2312" w:cs="仿宋_GB2312" w:hint="eastAsia"/>
          <w:color w:val="auto"/>
          <w:w w:val="100"/>
          <w:kern w:val="44"/>
          <w:highlight w:val="none"/>
          <w:lang w:eastAsia="zh-CN"/>
        </w:rPr>
        <w:t>（</w:t>
      </w:r>
      <w:r>
        <w:rPr>
          <w:rFonts w:hAnsi="仿宋_GB2312" w:cs="仿宋_GB2312" w:hint="eastAsia"/>
          <w:color w:val="auto"/>
          <w:w w:val="100"/>
          <w:kern w:val="44"/>
          <w:highlight w:val="none"/>
          <w:lang w:val="en-US" w:eastAsia="zh-CN"/>
        </w:rPr>
        <w:t>多月</w:t>
      </w:r>
      <w:r>
        <w:rPr>
          <w:rFonts w:hAnsi="仿宋_GB2312" w:cs="仿宋_GB2312" w:hint="eastAsia"/>
          <w:color w:val="auto"/>
          <w:w w:val="100"/>
          <w:kern w:val="44"/>
          <w:highlight w:val="none"/>
          <w:lang w:eastAsia="zh-CN"/>
        </w:rPr>
        <w:t>）</w:t>
      </w:r>
      <w:r>
        <w:rPr>
          <w:rFonts w:hAnsi="仿宋_GB2312" w:cs="仿宋_GB2312" w:hint="eastAsia"/>
          <w:color w:val="auto"/>
          <w:w w:val="100"/>
          <w:kern w:val="44"/>
          <w:highlight w:val="none"/>
        </w:rPr>
        <w:t>、周</w:t>
      </w:r>
      <w:r>
        <w:rPr>
          <w:rFonts w:hAnsi="仿宋_GB2312" w:cs="仿宋_GB2312" w:hint="eastAsia"/>
          <w:color w:val="auto"/>
          <w:w w:val="100"/>
          <w:kern w:val="44"/>
          <w:highlight w:val="none"/>
          <w:lang w:eastAsia="zh-CN"/>
        </w:rPr>
        <w:t>、</w:t>
      </w:r>
      <w:r>
        <w:rPr>
          <w:rFonts w:hAnsi="仿宋_GB2312" w:cs="仿宋_GB2312" w:hint="eastAsia"/>
          <w:color w:val="auto"/>
          <w:w w:val="100"/>
          <w:kern w:val="44"/>
          <w:highlight w:val="none"/>
          <w:lang w:val="en-US" w:eastAsia="zh-CN"/>
        </w:rPr>
        <w:t>多日</w:t>
      </w:r>
      <w:r>
        <w:rPr>
          <w:rFonts w:hAnsi="仿宋_GB2312" w:cs="仿宋_GB2312" w:hint="eastAsia"/>
          <w:color w:val="auto"/>
          <w:w w:val="100"/>
          <w:kern w:val="44"/>
          <w:highlight w:val="none"/>
        </w:rPr>
        <w:t>交易品种等。</w:t>
      </w:r>
    </w:p>
    <w:p>
      <w:pPr>
        <w:pStyle w:val="16"/>
        <w:pageBreakBefore w:val="0"/>
        <w:kinsoku/>
        <w:wordWrap/>
        <w:overflowPunct/>
        <w:topLinePunct w:val="0"/>
        <w:autoSpaceDE/>
        <w:autoSpaceDN/>
        <w:bidi w:val="0"/>
        <w:adjustRightInd/>
        <w:spacing w:line="560" w:lineRule="exact"/>
        <w:ind w:left="0" w:right="0" w:firstLine="640" w:firstLineChars="200"/>
        <w:jc w:val="both"/>
        <w:textAlignment w:val="auto"/>
        <w:rPr>
          <w:rFonts w:hAnsi="仿宋_GB2312" w:cs="仿宋_GB2312" w:hint="eastAsia"/>
          <w:color w:val="auto"/>
          <w:w w:val="100"/>
          <w:highlight w:val="none"/>
          <w:lang w:eastAsia="zh-CN"/>
        </w:rPr>
      </w:pPr>
      <w:r>
        <w:rPr>
          <w:rFonts w:hAnsi="仿宋_GB2312" w:cs="仿宋_GB2312" w:hint="eastAsia"/>
          <w:color w:val="auto"/>
          <w:w w:val="100"/>
          <w:kern w:val="44"/>
          <w:highlight w:val="none"/>
        </w:rPr>
        <w:t>3.1.1.1</w:t>
      </w:r>
      <w:r>
        <w:rPr>
          <w:rFonts w:hAnsi="仿宋_GB2312" w:cs="仿宋_GB2312" w:hint="eastAsia"/>
          <w:color w:val="auto"/>
          <w:w w:val="100"/>
          <w:highlight w:val="none"/>
        </w:rPr>
        <w:t>年度交易时，组织执行周期为年（多年）的各类交易。合同执行周期为年时，交易标的应包含次年年度总量、分时曲线，部分月份、日期或时段的分时曲线可以为零</w:t>
      </w:r>
      <w:r>
        <w:rPr>
          <w:rFonts w:hAnsi="仿宋_GB2312" w:cs="仿宋_GB2312" w:hint="eastAsia"/>
          <w:color w:val="auto"/>
          <w:w w:val="100"/>
          <w:highlight w:val="none"/>
          <w:lang w:eastAsia="zh-CN"/>
        </w:rPr>
        <w:t>。原则上每年年底组织开展次年年度交易。</w:t>
      </w:r>
    </w:p>
    <w:p>
      <w:pPr>
        <w:pStyle w:val="16"/>
        <w:pageBreakBefore w:val="0"/>
        <w:kinsoku/>
        <w:wordWrap/>
        <w:overflowPunct/>
        <w:topLinePunct w:val="0"/>
        <w:autoSpaceDE/>
        <w:autoSpaceDN/>
        <w:bidi w:val="0"/>
        <w:adjustRightInd/>
        <w:spacing w:line="560" w:lineRule="exact"/>
        <w:ind w:left="0" w:right="0" w:firstLine="640" w:firstLineChars="200"/>
        <w:jc w:val="both"/>
        <w:textAlignment w:val="auto"/>
        <w:rPr>
          <w:rFonts w:hAnsi="仿宋_GB2312" w:cs="仿宋_GB2312" w:hint="eastAsia"/>
          <w:color w:val="auto"/>
          <w:w w:val="100"/>
          <w:highlight w:val="none"/>
        </w:rPr>
      </w:pPr>
      <w:r>
        <w:rPr>
          <w:rFonts w:hAnsi="仿宋_GB2312" w:cs="仿宋_GB2312" w:hint="eastAsia"/>
          <w:color w:val="auto"/>
          <w:w w:val="100"/>
          <w:highlight w:val="none"/>
        </w:rPr>
        <w:t>3.1.1.</w:t>
      </w:r>
      <w:r>
        <w:rPr>
          <w:rFonts w:hAnsi="仿宋_GB2312" w:cs="仿宋_GB2312" w:hint="eastAsia"/>
          <w:color w:val="auto"/>
          <w:w w:val="100"/>
          <w:highlight w:val="none"/>
          <w:lang w:val="en-US" w:eastAsia="zh-CN"/>
        </w:rPr>
        <w:t>2多月</w:t>
      </w:r>
      <w:r>
        <w:rPr>
          <w:rFonts w:hAnsi="仿宋_GB2312" w:cs="仿宋_GB2312" w:hint="eastAsia"/>
          <w:color w:val="auto"/>
          <w:w w:val="100"/>
          <w:highlight w:val="none"/>
        </w:rPr>
        <w:t>交易时，组织执行周期为</w:t>
      </w:r>
      <w:r>
        <w:rPr>
          <w:rFonts w:hAnsi="仿宋_GB2312" w:cs="仿宋_GB2312" w:hint="eastAsia"/>
          <w:color w:val="auto"/>
          <w:w w:val="100"/>
          <w:highlight w:val="none"/>
          <w:lang w:val="en-US" w:eastAsia="zh-CN"/>
        </w:rPr>
        <w:t>多月</w:t>
      </w:r>
      <w:r>
        <w:rPr>
          <w:rFonts w:hAnsi="仿宋_GB2312" w:cs="仿宋_GB2312" w:hint="eastAsia"/>
          <w:color w:val="auto"/>
          <w:w w:val="100"/>
          <w:highlight w:val="none"/>
        </w:rPr>
        <w:t>的各类交易。</w:t>
      </w:r>
      <w:r>
        <w:rPr>
          <w:rFonts w:hAnsi="仿宋_GB2312" w:cs="仿宋_GB2312" w:hint="eastAsia"/>
          <w:color w:val="auto"/>
          <w:w w:val="100"/>
          <w:highlight w:val="none"/>
          <w:lang w:val="en-US" w:eastAsia="zh-CN"/>
        </w:rPr>
        <w:t>市场成员</w:t>
      </w:r>
      <w:r>
        <w:rPr>
          <w:rFonts w:hAnsi="仿宋_GB2312" w:cs="仿宋_GB2312" w:hint="eastAsia"/>
          <w:color w:val="auto"/>
          <w:w w:val="100"/>
          <w:highlight w:val="none"/>
        </w:rPr>
        <w:t>通过选择的首、末月份，确定执行周期。交易标的须包含次月至年底前任一月份的总量、分时曲线，部分</w:t>
      </w:r>
      <w:r>
        <w:rPr>
          <w:rFonts w:hAnsi="仿宋_GB2312" w:cs="仿宋_GB2312" w:hint="eastAsia"/>
          <w:color w:val="auto"/>
          <w:w w:val="100"/>
          <w:highlight w:val="none"/>
          <w:lang w:val="en-US" w:eastAsia="zh-CN"/>
        </w:rPr>
        <w:t>月份、</w:t>
      </w:r>
      <w:r>
        <w:rPr>
          <w:rFonts w:hAnsi="仿宋_GB2312" w:cs="仿宋_GB2312" w:hint="eastAsia"/>
          <w:color w:val="auto"/>
          <w:w w:val="100"/>
          <w:highlight w:val="none"/>
        </w:rPr>
        <w:t>日期</w:t>
      </w:r>
      <w:r>
        <w:rPr>
          <w:rFonts w:hAnsi="仿宋_GB2312" w:cs="仿宋_GB2312" w:hint="eastAsia"/>
          <w:color w:val="auto"/>
          <w:w w:val="100"/>
          <w:highlight w:val="none"/>
          <w:lang w:val="en-US" w:eastAsia="zh-CN"/>
        </w:rPr>
        <w:t>或时段的</w:t>
      </w:r>
      <w:r>
        <w:rPr>
          <w:rFonts w:hAnsi="仿宋_GB2312" w:cs="仿宋_GB2312" w:hint="eastAsia"/>
          <w:color w:val="auto"/>
          <w:w w:val="100"/>
          <w:highlight w:val="none"/>
        </w:rPr>
        <w:t>分时曲线可以为零。</w:t>
      </w:r>
      <w:r>
        <w:rPr>
          <w:rFonts w:ascii="仿宋_GB2312" w:eastAsia="仿宋_GB2312" w:hAnsi="仿宋_GB2312" w:cs="仿宋_GB2312" w:hint="eastAsia"/>
          <w:color w:val="auto"/>
          <w:w w:val="100"/>
          <w:highlight w:val="none"/>
          <w:lang w:eastAsia="zh-CN"/>
        </w:rPr>
        <w:t>原则上每月下旬开始组织开展</w:t>
      </w:r>
      <w:r>
        <w:rPr>
          <w:rFonts w:hAnsi="仿宋_GB2312" w:cs="仿宋_GB2312" w:hint="eastAsia"/>
          <w:color w:val="auto"/>
          <w:w w:val="100"/>
          <w:highlight w:val="none"/>
          <w:lang w:val="en-US" w:eastAsia="zh-CN"/>
        </w:rPr>
        <w:t>多</w:t>
      </w:r>
      <w:r>
        <w:rPr>
          <w:rFonts w:ascii="仿宋_GB2312" w:eastAsia="仿宋_GB2312" w:hAnsi="仿宋_GB2312" w:cs="仿宋_GB2312" w:hint="eastAsia"/>
          <w:color w:val="auto"/>
          <w:w w:val="100"/>
          <w:highlight w:val="none"/>
          <w:lang w:eastAsia="zh-CN"/>
        </w:rPr>
        <w:t>月交易</w:t>
      </w:r>
      <w:r>
        <w:rPr>
          <w:rFonts w:hAnsi="仿宋_GB2312" w:cs="仿宋_GB2312" w:hint="eastAsia"/>
          <w:color w:val="auto"/>
          <w:w w:val="100"/>
          <w:highlight w:val="none"/>
          <w:lang w:val="en-US" w:eastAsia="zh-CN"/>
        </w:rPr>
        <w:t>。</w:t>
      </w:r>
    </w:p>
    <w:p>
      <w:pPr>
        <w:pStyle w:val="16"/>
        <w:pageBreakBefore w:val="0"/>
        <w:kinsoku/>
        <w:wordWrap/>
        <w:overflowPunct/>
        <w:topLinePunct w:val="0"/>
        <w:autoSpaceDE/>
        <w:autoSpaceDN/>
        <w:bidi w:val="0"/>
        <w:adjustRightInd/>
        <w:spacing w:line="560" w:lineRule="exact"/>
        <w:ind w:left="0" w:right="0" w:firstLine="640" w:firstLineChars="200"/>
        <w:jc w:val="both"/>
        <w:textAlignment w:val="auto"/>
        <w:rPr>
          <w:rFonts w:hAnsi="仿宋_GB2312" w:cs="仿宋_GB2312" w:hint="default"/>
          <w:color w:val="auto"/>
          <w:w w:val="100"/>
          <w:highlight w:val="none"/>
          <w:lang w:val="en-US" w:eastAsia="zh-CN"/>
        </w:rPr>
      </w:pPr>
      <w:r>
        <w:rPr>
          <w:rFonts w:hAnsi="仿宋_GB2312" w:cs="仿宋_GB2312" w:hint="eastAsia"/>
          <w:color w:val="auto"/>
          <w:w w:val="100"/>
          <w:highlight w:val="none"/>
        </w:rPr>
        <w:t>3.1.1.</w:t>
      </w:r>
      <w:r>
        <w:rPr>
          <w:rFonts w:hAnsi="仿宋_GB2312" w:cs="仿宋_GB2312" w:hint="eastAsia"/>
          <w:color w:val="auto"/>
          <w:w w:val="100"/>
          <w:highlight w:val="none"/>
          <w:lang w:val="en-US" w:eastAsia="zh-CN"/>
        </w:rPr>
        <w:t>3</w:t>
      </w:r>
      <w:r>
        <w:rPr>
          <w:rFonts w:hAnsi="仿宋_GB2312" w:cs="仿宋_GB2312" w:hint="eastAsia"/>
          <w:color w:val="auto"/>
          <w:w w:val="100"/>
          <w:highlight w:val="none"/>
        </w:rPr>
        <w:t>月度交易时，组织执行周期为月交易的各类交易。交易标的仅包含次月总量、分时曲线，部分日期</w:t>
      </w:r>
      <w:r>
        <w:rPr>
          <w:rFonts w:hAnsi="仿宋_GB2312" w:cs="仿宋_GB2312" w:hint="eastAsia"/>
          <w:color w:val="auto"/>
          <w:w w:val="100"/>
          <w:highlight w:val="none"/>
          <w:lang w:val="en-US" w:eastAsia="zh-CN"/>
        </w:rPr>
        <w:t>或时段的</w:t>
      </w:r>
      <w:r>
        <w:rPr>
          <w:rFonts w:hAnsi="仿宋_GB2312" w:cs="仿宋_GB2312" w:hint="eastAsia"/>
          <w:color w:val="auto"/>
          <w:w w:val="100"/>
          <w:highlight w:val="none"/>
        </w:rPr>
        <w:t>分时曲线可以为零。</w:t>
      </w:r>
      <w:r>
        <w:rPr>
          <w:rFonts w:ascii="仿宋_GB2312" w:eastAsia="仿宋_GB2312" w:hAnsi="仿宋_GB2312" w:cs="仿宋_GB2312" w:hint="eastAsia"/>
          <w:color w:val="auto"/>
          <w:w w:val="100"/>
          <w:highlight w:val="none"/>
          <w:lang w:eastAsia="zh-CN"/>
        </w:rPr>
        <w:t>原则上每月下旬开始组织开展次月交易</w:t>
      </w:r>
      <w:r>
        <w:rPr>
          <w:rFonts w:hAnsi="仿宋_GB2312" w:cs="仿宋_GB2312" w:hint="eastAsia"/>
          <w:color w:val="auto"/>
          <w:w w:val="100"/>
          <w:highlight w:val="none"/>
          <w:lang w:val="en-US" w:eastAsia="zh-CN"/>
        </w:rPr>
        <w:t>。</w:t>
      </w:r>
    </w:p>
    <w:p>
      <w:pPr>
        <w:pStyle w:val="16"/>
        <w:pageBreakBefore w:val="0"/>
        <w:kinsoku/>
        <w:wordWrap/>
        <w:overflowPunct/>
        <w:topLinePunct w:val="0"/>
        <w:autoSpaceDE/>
        <w:autoSpaceDN/>
        <w:bidi w:val="0"/>
        <w:adjustRightInd/>
        <w:spacing w:line="560" w:lineRule="exact"/>
        <w:ind w:left="0" w:right="0" w:firstLine="640" w:firstLineChars="200"/>
        <w:jc w:val="both"/>
        <w:textAlignment w:val="auto"/>
        <w:rPr>
          <w:rFonts w:ascii="仿宋_GB2312" w:eastAsia="仿宋_GB2312" w:hAnsi="仿宋_GB2312" w:cs="仿宋_GB2312" w:hint="eastAsia"/>
          <w:color w:val="auto"/>
          <w:w w:val="100"/>
          <w:highlight w:val="none"/>
          <w:lang w:eastAsia="zh-CN"/>
        </w:rPr>
      </w:pPr>
      <w:r>
        <w:rPr>
          <w:rFonts w:hAnsi="仿宋_GB2312" w:cs="仿宋_GB2312" w:hint="eastAsia"/>
          <w:color w:val="auto"/>
          <w:w w:val="100"/>
          <w:highlight w:val="none"/>
        </w:rPr>
        <w:t>3.1.1.</w:t>
      </w:r>
      <w:r>
        <w:rPr>
          <w:rFonts w:hAnsi="仿宋_GB2312" w:cs="仿宋_GB2312" w:hint="eastAsia"/>
          <w:color w:val="auto"/>
          <w:w w:val="100"/>
          <w:highlight w:val="none"/>
          <w:lang w:val="en-US" w:eastAsia="zh-CN"/>
        </w:rPr>
        <w:t>4</w:t>
      </w:r>
      <w:r>
        <w:rPr>
          <w:rFonts w:ascii="仿宋_GB2312" w:eastAsia="仿宋_GB2312" w:hAnsi="仿宋_GB2312" w:cs="仿宋_GB2312" w:hint="eastAsia"/>
          <w:color w:val="auto"/>
          <w:w w:val="100"/>
          <w:highlight w:val="none"/>
          <w:lang w:eastAsia="zh-CN"/>
        </w:rPr>
        <w:t>周交易</w:t>
      </w:r>
      <w:r>
        <w:rPr>
          <w:rFonts w:hAnsi="仿宋_GB2312" w:cs="仿宋_GB2312" w:hint="eastAsia"/>
          <w:color w:val="auto"/>
          <w:w w:val="100"/>
          <w:highlight w:val="none"/>
          <w:lang w:val="en-US" w:eastAsia="zh-CN"/>
        </w:rPr>
        <w:t>时，组织执行周期为周的各类交易。</w:t>
      </w:r>
      <w:r>
        <w:rPr>
          <w:rFonts w:hAnsi="仿宋_GB2312" w:cs="仿宋_GB2312" w:hint="eastAsia"/>
          <w:color w:val="auto"/>
          <w:highlight w:val="none"/>
        </w:rPr>
        <w:t>交易标的包含次周总量、分时曲线，部分日期或时段分时曲线可以为零</w:t>
      </w:r>
      <w:r>
        <w:rPr>
          <w:rFonts w:hAnsi="仿宋_GB2312" w:cs="仿宋_GB2312" w:hint="eastAsia"/>
          <w:color w:val="auto"/>
          <w:highlight w:val="none"/>
          <w:lang w:eastAsia="zh-CN"/>
        </w:rPr>
        <w:t>，</w:t>
      </w:r>
      <w:r>
        <w:rPr>
          <w:rFonts w:ascii="仿宋_GB2312" w:eastAsia="仿宋_GB2312" w:hAnsi="仿宋_GB2312" w:cs="仿宋_GB2312" w:hint="eastAsia"/>
          <w:color w:val="auto"/>
          <w:w w:val="100"/>
          <w:highlight w:val="none"/>
          <w:lang w:eastAsia="zh-CN"/>
        </w:rPr>
        <w:t>标的物不跨月，原则上为次周周一至周日，当剩余标的日不足3日时，可与前序或后续周合并开展交易；当剩余标的日不低于3日且不足7日时，单独作为一周开展交易</w:t>
      </w:r>
      <w:r>
        <w:rPr>
          <w:rFonts w:hAnsi="仿宋_GB2312" w:cs="仿宋_GB2312" w:hint="eastAsia"/>
          <w:color w:val="auto"/>
          <w:w w:val="100"/>
          <w:highlight w:val="none"/>
          <w:lang w:eastAsia="zh-CN"/>
        </w:rPr>
        <w:t>。</w:t>
      </w:r>
      <w:r>
        <w:rPr>
          <w:rFonts w:hAnsi="仿宋_GB2312" w:cs="仿宋_GB2312" w:hint="eastAsia"/>
          <w:color w:val="auto"/>
          <w:w w:val="100"/>
          <w:highlight w:val="none"/>
          <w:lang w:val="en-US" w:eastAsia="zh-CN"/>
        </w:rPr>
        <w:t>周交易</w:t>
      </w:r>
      <w:r>
        <w:rPr>
          <w:rFonts w:ascii="仿宋_GB2312" w:eastAsia="仿宋_GB2312" w:hAnsi="仿宋_GB2312" w:cs="仿宋_GB2312" w:hint="eastAsia"/>
          <w:color w:val="auto"/>
          <w:w w:val="100"/>
          <w:highlight w:val="none"/>
          <w:lang w:eastAsia="zh-CN"/>
        </w:rPr>
        <w:t>原则上每</w:t>
      </w:r>
      <w:r>
        <w:rPr>
          <w:rFonts w:hAnsi="仿宋_GB2312" w:cs="仿宋_GB2312" w:hint="eastAsia"/>
          <w:color w:val="auto"/>
          <w:w w:val="100"/>
          <w:highlight w:val="none"/>
          <w:lang w:val="en-US" w:eastAsia="zh-CN"/>
        </w:rPr>
        <w:t>周</w:t>
      </w:r>
      <w:r>
        <w:rPr>
          <w:rFonts w:ascii="仿宋_GB2312" w:eastAsia="仿宋_GB2312" w:hAnsi="仿宋_GB2312" w:cs="仿宋_GB2312" w:hint="eastAsia"/>
          <w:color w:val="auto"/>
          <w:w w:val="100"/>
          <w:highlight w:val="none"/>
          <w:lang w:eastAsia="zh-CN"/>
        </w:rPr>
        <w:t>开展，如遇节假日，根据实际情况提前组织交易</w:t>
      </w:r>
      <w:r>
        <w:rPr>
          <w:rFonts w:hAnsi="仿宋_GB2312" w:cs="仿宋_GB2312" w:hint="eastAsia"/>
          <w:color w:val="auto"/>
          <w:w w:val="100"/>
          <w:highlight w:val="none"/>
          <w:lang w:eastAsia="zh-CN"/>
        </w:rPr>
        <w:t>，</w:t>
      </w:r>
      <w:r>
        <w:rPr>
          <w:rFonts w:ascii="仿宋_GB2312" w:eastAsia="仿宋_GB2312" w:hAnsi="仿宋_GB2312" w:cs="仿宋_GB2312" w:hint="eastAsia"/>
          <w:color w:val="auto"/>
          <w:w w:val="100"/>
          <w:highlight w:val="none"/>
          <w:lang w:eastAsia="zh-CN"/>
        </w:rPr>
        <w:t>具体交易时间以交易中心发布的交易公告为准。</w:t>
      </w:r>
    </w:p>
    <w:p>
      <w:pPr>
        <w:pStyle w:val="16"/>
        <w:pageBreakBefore w:val="0"/>
        <w:kinsoku/>
        <w:wordWrap/>
        <w:overflowPunct/>
        <w:topLinePunct w:val="0"/>
        <w:autoSpaceDE/>
        <w:autoSpaceDN/>
        <w:bidi w:val="0"/>
        <w:adjustRightInd/>
        <w:spacing w:line="560" w:lineRule="exact"/>
        <w:ind w:left="0" w:right="0" w:firstLine="640" w:firstLineChars="200"/>
        <w:jc w:val="both"/>
        <w:textAlignment w:val="auto"/>
        <w:rPr>
          <w:rFonts w:ascii="仿宋_GB2312" w:eastAsia="仿宋_GB2312" w:hAnsi="仿宋_GB2312" w:cs="仿宋_GB2312" w:hint="default"/>
          <w:color w:val="auto"/>
          <w:w w:val="100"/>
          <w:highlight w:val="none"/>
          <w:lang w:val="en-US" w:eastAsia="zh-CN"/>
        </w:rPr>
      </w:pPr>
      <w:r>
        <w:rPr>
          <w:rFonts w:hAnsi="仿宋_GB2312" w:cs="仿宋_GB2312" w:hint="eastAsia"/>
          <w:color w:val="auto"/>
          <w:w w:val="100"/>
          <w:highlight w:val="none"/>
          <w:lang w:val="en-US" w:eastAsia="zh-CN"/>
        </w:rPr>
        <w:t>3.1.1.5</w:t>
      </w:r>
      <w:r>
        <w:rPr>
          <w:rFonts w:ascii="仿宋_GB2312" w:eastAsia="仿宋_GB2312" w:hAnsi="仿宋_GB2312" w:cs="仿宋_GB2312" w:hint="eastAsia"/>
          <w:strike w:val="0"/>
          <w:dstrike w:val="0"/>
          <w:color w:val="auto"/>
          <w:w w:val="100"/>
          <w:highlight w:val="none"/>
          <w:lang w:val="en-US" w:eastAsia="zh-CN"/>
        </w:rPr>
        <w:t>多日交易</w:t>
      </w:r>
      <w:r>
        <w:rPr>
          <w:rFonts w:hAnsi="仿宋_GB2312" w:cs="仿宋_GB2312" w:hint="eastAsia"/>
          <w:strike w:val="0"/>
          <w:dstrike w:val="0"/>
          <w:color w:val="auto"/>
          <w:w w:val="100"/>
          <w:highlight w:val="none"/>
          <w:lang w:val="en-US" w:eastAsia="zh-CN"/>
        </w:rPr>
        <w:t>时，</w:t>
      </w:r>
      <w:r>
        <w:rPr>
          <w:rFonts w:hAnsi="仿宋_GB2312" w:cs="仿宋_GB2312" w:hint="eastAsia"/>
          <w:color w:val="auto"/>
          <w:w w:val="100"/>
          <w:highlight w:val="none"/>
          <w:lang w:val="en-US" w:eastAsia="zh-CN"/>
        </w:rPr>
        <w:t>组织执行周期至少一日的各类交易。</w:t>
      </w:r>
      <w:r>
        <w:rPr>
          <w:rFonts w:hAnsi="仿宋_GB2312" w:cs="仿宋_GB2312" w:hint="eastAsia"/>
          <w:color w:val="auto"/>
          <w:highlight w:val="none"/>
        </w:rPr>
        <w:t>交易标的包含</w:t>
      </w:r>
      <w:r>
        <w:rPr>
          <w:rFonts w:hAnsi="仿宋_GB2312" w:cs="仿宋_GB2312" w:hint="eastAsia"/>
          <w:color w:val="auto"/>
          <w:highlight w:val="none"/>
          <w:lang w:val="en-US" w:eastAsia="zh-CN"/>
        </w:rPr>
        <w:t>日</w:t>
      </w:r>
      <w:r>
        <w:rPr>
          <w:rFonts w:hAnsi="仿宋_GB2312" w:cs="仿宋_GB2312" w:hint="eastAsia"/>
          <w:color w:val="auto"/>
          <w:highlight w:val="none"/>
        </w:rPr>
        <w:t>总量</w:t>
      </w:r>
      <w:r>
        <w:rPr>
          <w:rFonts w:hAnsi="仿宋_GB2312" w:cs="仿宋_GB2312" w:hint="eastAsia"/>
          <w:color w:val="auto"/>
          <w:highlight w:val="none"/>
          <w:lang w:eastAsia="zh-CN"/>
        </w:rPr>
        <w:t>（</w:t>
      </w:r>
      <w:r>
        <w:rPr>
          <w:rFonts w:hAnsi="仿宋_GB2312" w:cs="仿宋_GB2312" w:hint="eastAsia"/>
          <w:color w:val="auto"/>
          <w:highlight w:val="none"/>
          <w:lang w:val="en-US" w:eastAsia="zh-CN"/>
        </w:rPr>
        <w:t>须包含分时曲线</w:t>
      </w:r>
      <w:r>
        <w:rPr>
          <w:rFonts w:hAnsi="仿宋_GB2312" w:cs="仿宋_GB2312" w:hint="eastAsia"/>
          <w:color w:val="auto"/>
          <w:highlight w:val="none"/>
          <w:lang w:eastAsia="zh-CN"/>
        </w:rPr>
        <w:t>）</w:t>
      </w:r>
      <w:r>
        <w:rPr>
          <w:rFonts w:hAnsi="仿宋_GB2312" w:cs="仿宋_GB2312" w:hint="eastAsia"/>
          <w:color w:val="auto"/>
          <w:highlight w:val="none"/>
          <w:lang w:val="en-US" w:eastAsia="zh-CN"/>
        </w:rPr>
        <w:t>或分时总量</w:t>
      </w:r>
      <w:r>
        <w:rPr>
          <w:rFonts w:hAnsi="仿宋_GB2312" w:cs="仿宋_GB2312" w:hint="eastAsia"/>
          <w:color w:val="auto"/>
          <w:highlight w:val="none"/>
        </w:rPr>
        <w:t>，部分日期或分时</w:t>
      </w:r>
      <w:r>
        <w:rPr>
          <w:rFonts w:hAnsi="仿宋_GB2312" w:cs="仿宋_GB2312" w:hint="eastAsia"/>
          <w:color w:val="auto"/>
          <w:highlight w:val="none"/>
          <w:lang w:val="en-US" w:eastAsia="zh-CN"/>
        </w:rPr>
        <w:t>总量</w:t>
      </w:r>
      <w:r>
        <w:rPr>
          <w:rFonts w:hAnsi="仿宋_GB2312" w:cs="仿宋_GB2312" w:hint="eastAsia"/>
          <w:color w:val="auto"/>
          <w:highlight w:val="none"/>
        </w:rPr>
        <w:t>可以为零</w:t>
      </w:r>
      <w:r>
        <w:rPr>
          <w:rFonts w:hAnsi="仿宋_GB2312" w:cs="仿宋_GB2312" w:hint="eastAsia"/>
          <w:color w:val="auto"/>
          <w:highlight w:val="none"/>
          <w:lang w:eastAsia="zh-CN"/>
        </w:rPr>
        <w:t>，</w:t>
      </w:r>
      <w:r>
        <w:rPr>
          <w:rFonts w:hAnsi="仿宋_GB2312" w:cs="仿宋_GB2312" w:hint="eastAsia"/>
          <w:color w:val="auto"/>
          <w:highlight w:val="none"/>
          <w:lang w:val="en-US" w:eastAsia="zh-CN"/>
        </w:rPr>
        <w:t>标的物不跨月。</w:t>
      </w:r>
      <w:r>
        <w:rPr>
          <w:rFonts w:hAnsi="仿宋_GB2312" w:cs="仿宋_GB2312" w:hint="eastAsia"/>
          <w:strike w:val="0"/>
          <w:dstrike w:val="0"/>
          <w:color w:val="auto"/>
          <w:w w:val="100"/>
          <w:highlight w:val="none"/>
          <w:lang w:val="en-US" w:eastAsia="zh-CN"/>
        </w:rPr>
        <w:t>多日交易原则上按工作日开展</w:t>
      </w:r>
      <w:r>
        <w:rPr>
          <w:rFonts w:ascii="仿宋_GB2312" w:eastAsia="仿宋_GB2312" w:hAnsi="仿宋_GB2312" w:cs="仿宋_GB2312" w:hint="eastAsia"/>
          <w:strike w:val="0"/>
          <w:dstrike w:val="0"/>
          <w:color w:val="auto"/>
          <w:w w:val="100"/>
          <w:highlight w:val="none"/>
          <w:lang w:val="en-US" w:eastAsia="zh-CN"/>
        </w:rPr>
        <w:t>，</w:t>
      </w:r>
      <w:r>
        <w:rPr>
          <w:rFonts w:ascii="仿宋_GB2312" w:eastAsia="仿宋_GB2312" w:hAnsi="仿宋_GB2312" w:cs="仿宋_GB2312" w:hint="eastAsia"/>
          <w:strike w:val="0"/>
          <w:dstrike w:val="0"/>
          <w:color w:val="auto"/>
          <w:w w:val="100"/>
          <w:highlight w:val="none"/>
          <w:lang w:eastAsia="zh-CN"/>
        </w:rPr>
        <w:t>具体交易时间以交易中心发布的交易公告为准</w:t>
      </w:r>
      <w:r>
        <w:rPr>
          <w:rFonts w:ascii="仿宋_GB2312" w:eastAsia="仿宋_GB2312" w:hAnsi="仿宋_GB2312" w:cs="仿宋_GB2312" w:hint="eastAsia"/>
          <w:strike w:val="0"/>
          <w:dstrike w:val="0"/>
          <w:color w:val="auto"/>
          <w:w w:val="100"/>
          <w:highlight w:val="none"/>
          <w:lang w:val="en-US" w:eastAsia="zh-CN"/>
        </w:rPr>
        <w:t>。</w:t>
      </w:r>
    </w:p>
    <w:p>
      <w:pPr>
        <w:keepNext/>
        <w:keepLines/>
        <w:pageBreakBefore w:val="0"/>
        <w:kinsoku/>
        <w:wordWrap/>
        <w:overflowPunct/>
        <w:topLinePunct w:val="0"/>
        <w:autoSpaceDE/>
        <w:autoSpaceDN/>
        <w:bidi w:val="0"/>
        <w:adjustRightInd/>
        <w:snapToGrid w:val="0"/>
        <w:spacing w:line="560" w:lineRule="exact"/>
        <w:ind w:left="0" w:right="0" w:firstLine="640" w:firstLineChars="200"/>
        <w:jc w:val="both"/>
        <w:textAlignment w:val="auto"/>
        <w:outlineLvl w:val="2"/>
        <w:rPr>
          <w:rFonts w:ascii="仿宋_GB2312" w:eastAsia="仿宋_GB2312" w:hAnsi="仿宋_GB2312" w:cs="仿宋_GB2312"/>
          <w:color w:val="auto"/>
          <w:w w:val="100"/>
          <w:kern w:val="44"/>
          <w:sz w:val="32"/>
          <w:szCs w:val="32"/>
          <w:highlight w:val="none"/>
          <w:lang w:eastAsia="zh-CN"/>
        </w:rPr>
      </w:pPr>
      <w:bookmarkStart w:id="14" w:name="_Toc16409"/>
      <w:r>
        <w:rPr>
          <w:rFonts w:ascii="仿宋_GB2312" w:eastAsia="仿宋_GB2312" w:hAnsi="仿宋_GB2312" w:cs="仿宋_GB2312" w:hint="eastAsia"/>
          <w:color w:val="auto"/>
          <w:w w:val="100"/>
          <w:kern w:val="44"/>
          <w:sz w:val="32"/>
          <w:szCs w:val="32"/>
          <w:highlight w:val="none"/>
          <w:lang w:eastAsia="zh-CN"/>
        </w:rPr>
        <w:t>3.1.2交易标的</w:t>
      </w:r>
      <w:bookmarkEnd w:id="14"/>
    </w:p>
    <w:p>
      <w:pPr>
        <w:pStyle w:val="16"/>
        <w:pageBreakBefore w:val="0"/>
        <w:kinsoku/>
        <w:wordWrap/>
        <w:overflowPunct/>
        <w:topLinePunct w:val="0"/>
        <w:autoSpaceDE/>
        <w:autoSpaceDN/>
        <w:bidi w:val="0"/>
        <w:adjustRightInd/>
        <w:spacing w:line="560" w:lineRule="exact"/>
        <w:ind w:left="0" w:right="0" w:firstLine="640" w:firstLineChars="200"/>
        <w:jc w:val="both"/>
        <w:textAlignment w:val="auto"/>
        <w:outlineLvl w:val="9"/>
        <w:rPr>
          <w:rFonts w:hAnsi="仿宋_GB2312" w:cs="仿宋_GB2312"/>
          <w:color w:val="auto"/>
          <w:w w:val="100"/>
          <w:highlight w:val="none"/>
        </w:rPr>
      </w:pPr>
      <w:r>
        <w:rPr>
          <w:rFonts w:ascii="仿宋_GB2312" w:eastAsia="仿宋_GB2312" w:hAnsi="仿宋_GB2312" w:cs="仿宋_GB2312" w:hint="eastAsia"/>
          <w:color w:val="auto"/>
          <w:w w:val="100"/>
          <w:szCs w:val="30"/>
          <w:highlight w:val="none"/>
          <w:lang w:eastAsia="zh-CN"/>
        </w:rPr>
        <w:t>中长期电能量交易包括发用</w:t>
      </w:r>
      <w:r>
        <w:rPr>
          <w:rFonts w:hAnsi="仿宋_GB2312" w:cs="仿宋_GB2312" w:hint="eastAsia"/>
          <w:color w:val="auto"/>
          <w:w w:val="100"/>
          <w:szCs w:val="30"/>
          <w:highlight w:val="none"/>
          <w:lang w:val="en-US" w:eastAsia="zh-CN"/>
        </w:rPr>
        <w:t>两侧</w:t>
      </w:r>
      <w:r>
        <w:rPr>
          <w:rFonts w:ascii="仿宋_GB2312" w:eastAsia="仿宋_GB2312" w:hAnsi="仿宋_GB2312" w:cs="仿宋_GB2312" w:hint="eastAsia"/>
          <w:color w:val="auto"/>
          <w:w w:val="100"/>
          <w:sz w:val="32"/>
          <w:szCs w:val="32"/>
          <w:highlight w:val="none"/>
          <w:lang w:val="en-US" w:eastAsia="zh-CN"/>
        </w:rPr>
        <w:t>市场成员</w:t>
      </w:r>
      <w:r>
        <w:rPr>
          <w:rFonts w:ascii="仿宋_GB2312" w:eastAsia="仿宋_GB2312" w:hAnsi="仿宋_GB2312" w:cs="仿宋_GB2312" w:hint="eastAsia"/>
          <w:color w:val="auto"/>
          <w:w w:val="100"/>
          <w:szCs w:val="30"/>
          <w:highlight w:val="none"/>
          <w:lang w:eastAsia="zh-CN"/>
        </w:rPr>
        <w:t>之间直接开展的电量交易。</w:t>
      </w:r>
      <w:r>
        <w:rPr>
          <w:rFonts w:hAnsi="仿宋_GB2312" w:cs="仿宋_GB2312" w:hint="eastAsia"/>
          <w:color w:val="auto"/>
          <w:w w:val="100"/>
          <w:highlight w:val="none"/>
        </w:rPr>
        <w:t>电量交易包括省内中长期</w:t>
      </w:r>
      <w:r>
        <w:rPr>
          <w:rFonts w:hAnsi="仿宋_GB2312" w:cs="仿宋_GB2312" w:hint="eastAsia"/>
          <w:color w:val="auto"/>
          <w:w w:val="100"/>
          <w:highlight w:val="none"/>
          <w:lang w:val="en-US" w:eastAsia="zh-CN"/>
        </w:rPr>
        <w:t>直接</w:t>
      </w:r>
      <w:r>
        <w:rPr>
          <w:rFonts w:hAnsi="仿宋_GB2312" w:cs="仿宋_GB2312" w:hint="eastAsia"/>
          <w:color w:val="auto"/>
          <w:w w:val="100"/>
          <w:highlight w:val="none"/>
        </w:rPr>
        <w:t>交易</w:t>
      </w:r>
      <w:r>
        <w:rPr>
          <w:rFonts w:hAnsi="仿宋_GB2312" w:cs="仿宋_GB2312" w:hint="eastAsia"/>
          <w:color w:val="auto"/>
          <w:w w:val="100"/>
          <w:highlight w:val="none"/>
          <w:lang w:eastAsia="zh-CN"/>
        </w:rPr>
        <w:t>、</w:t>
      </w:r>
      <w:r>
        <w:rPr>
          <w:rFonts w:hAnsi="仿宋_GB2312" w:cs="仿宋_GB2312" w:hint="eastAsia"/>
          <w:color w:val="auto"/>
          <w:w w:val="100"/>
          <w:highlight w:val="none"/>
        </w:rPr>
        <w:t>电网企业代理购电交易。</w:t>
      </w:r>
    </w:p>
    <w:p>
      <w:pPr>
        <w:pStyle w:val="16"/>
        <w:pageBreakBefore w:val="0"/>
        <w:kinsoku/>
        <w:wordWrap/>
        <w:overflowPunct/>
        <w:topLinePunct w:val="0"/>
        <w:autoSpaceDE/>
        <w:autoSpaceDN/>
        <w:bidi w:val="0"/>
        <w:adjustRightInd/>
        <w:spacing w:line="560" w:lineRule="exact"/>
        <w:ind w:left="0" w:right="0" w:firstLine="640" w:firstLineChars="200"/>
        <w:jc w:val="both"/>
        <w:textAlignment w:val="auto"/>
        <w:rPr>
          <w:rFonts w:eastAsia="仿宋_GB2312" w:hAnsi="仿宋_GB2312" w:cs="仿宋_GB2312" w:hint="default"/>
          <w:color w:val="auto"/>
          <w:w w:val="100"/>
          <w:highlight w:val="none"/>
          <w:lang w:val="en-US" w:eastAsia="zh-CN"/>
        </w:rPr>
      </w:pPr>
      <w:r>
        <w:rPr>
          <w:rFonts w:hAnsi="仿宋_GB2312" w:cs="仿宋_GB2312" w:hint="eastAsia"/>
          <w:color w:val="auto"/>
          <w:w w:val="100"/>
          <w:highlight w:val="none"/>
          <w:lang w:val="en-US" w:eastAsia="zh-CN"/>
        </w:rPr>
        <w:t>3.1.2.1</w:t>
      </w:r>
      <w:r>
        <w:rPr>
          <w:rFonts w:hAnsi="仿宋_GB2312" w:cs="仿宋_GB2312" w:hint="eastAsia"/>
          <w:color w:val="auto"/>
          <w:w w:val="100"/>
          <w:highlight w:val="none"/>
        </w:rPr>
        <w:t>省内中长期</w:t>
      </w:r>
      <w:r>
        <w:rPr>
          <w:rFonts w:hAnsi="仿宋_GB2312" w:cs="仿宋_GB2312" w:hint="eastAsia"/>
          <w:color w:val="auto"/>
          <w:w w:val="100"/>
          <w:highlight w:val="none"/>
          <w:lang w:val="en-US" w:eastAsia="zh-CN"/>
        </w:rPr>
        <w:t>直接</w:t>
      </w:r>
      <w:r>
        <w:rPr>
          <w:rFonts w:hAnsi="仿宋_GB2312" w:cs="仿宋_GB2312" w:hint="eastAsia"/>
          <w:color w:val="auto"/>
          <w:w w:val="100"/>
          <w:highlight w:val="none"/>
        </w:rPr>
        <w:t>交易是</w:t>
      </w:r>
      <w:r>
        <w:rPr>
          <w:rFonts w:hAnsi="仿宋_GB2312" w:cs="仿宋_GB2312" w:hint="eastAsia"/>
          <w:color w:val="auto"/>
          <w:w w:val="100"/>
          <w:highlight w:val="none"/>
          <w:lang w:val="en-US" w:eastAsia="zh-CN"/>
        </w:rPr>
        <w:t>经营主体在省内通过</w:t>
      </w:r>
      <w:r>
        <w:rPr>
          <w:rFonts w:hAnsi="仿宋_GB2312" w:cs="仿宋_GB2312" w:hint="eastAsia"/>
          <w:color w:val="auto"/>
          <w:w w:val="100"/>
          <w:highlight w:val="none"/>
        </w:rPr>
        <w:t>双边协商、集中交易等市场化方式</w:t>
      </w:r>
      <w:r>
        <w:rPr>
          <w:rFonts w:hAnsi="仿宋_GB2312" w:cs="仿宋_GB2312" w:hint="eastAsia"/>
          <w:color w:val="auto"/>
          <w:w w:val="100"/>
          <w:highlight w:val="none"/>
          <w:lang w:val="en-US" w:eastAsia="zh-CN"/>
        </w:rPr>
        <w:t>进行的直接交易（包含绿色电力交易，</w:t>
      </w:r>
      <w:r>
        <w:rPr>
          <w:rFonts w:hAnsi="仿宋_GB2312" w:cs="仿宋_GB2312" w:hint="eastAsia"/>
          <w:color w:val="auto"/>
          <w:highlight w:val="none"/>
        </w:rPr>
        <w:t>以下简称“绿电交易”</w:t>
      </w:r>
      <w:r>
        <w:rPr>
          <w:rFonts w:hAnsi="仿宋_GB2312" w:cs="仿宋_GB2312" w:hint="eastAsia"/>
          <w:color w:val="auto"/>
          <w:w w:val="100"/>
          <w:highlight w:val="none"/>
          <w:lang w:val="en-US" w:eastAsia="zh-CN"/>
        </w:rPr>
        <w:t>）。3.1.2.2</w:t>
      </w:r>
      <w:r>
        <w:rPr>
          <w:rFonts w:hAnsi="仿宋_GB2312" w:cs="仿宋_GB2312" w:hint="eastAsia"/>
          <w:color w:val="auto"/>
          <w:w w:val="100"/>
          <w:highlight w:val="none"/>
        </w:rPr>
        <w:t>电网企业代理购电交易电量是暂未直接从电力市场购电和已直接参与电力市场交易又退出的工商业用户</w:t>
      </w:r>
      <w:r>
        <w:rPr>
          <w:rFonts w:hAnsi="仿宋_GB2312" w:cs="仿宋_GB2312" w:hint="eastAsia"/>
          <w:color w:val="auto"/>
          <w:w w:val="100"/>
          <w:highlight w:val="none"/>
          <w:lang w:eastAsia="zh-CN"/>
        </w:rPr>
        <w:t>，</w:t>
      </w:r>
      <w:r>
        <w:rPr>
          <w:rFonts w:hAnsi="仿宋_GB2312" w:cs="仿宋_GB2312" w:hint="eastAsia"/>
          <w:color w:val="auto"/>
          <w:w w:val="100"/>
          <w:highlight w:val="none"/>
        </w:rPr>
        <w:t>由电网企业代理</w:t>
      </w:r>
      <w:r>
        <w:rPr>
          <w:rFonts w:hAnsi="仿宋_GB2312" w:cs="仿宋_GB2312" w:hint="eastAsia"/>
          <w:color w:val="auto"/>
          <w:w w:val="100"/>
          <w:highlight w:val="none"/>
          <w:lang w:val="en-US" w:eastAsia="zh-CN"/>
        </w:rPr>
        <w:t>通过挂牌交易参与电力市场购电，发电企业作为售电方进行摘牌。</w:t>
      </w:r>
    </w:p>
    <w:p>
      <w:pPr>
        <w:pStyle w:val="BodyText"/>
        <w:pageBreakBefore w:val="0"/>
        <w:kinsoku/>
        <w:wordWrap/>
        <w:overflowPunct/>
        <w:topLinePunct w:val="0"/>
        <w:autoSpaceDE/>
        <w:autoSpaceDN/>
        <w:bidi w:val="0"/>
        <w:adjustRightInd/>
        <w:spacing w:line="560" w:lineRule="exact"/>
        <w:ind w:left="0" w:right="0" w:firstLine="640" w:firstLineChars="200"/>
        <w:jc w:val="both"/>
        <w:textAlignment w:val="auto"/>
        <w:outlineLvl w:val="2"/>
        <w:rPr>
          <w:rFonts w:ascii="仿宋_GB2312" w:eastAsia="仿宋_GB2312" w:hAnsi="仿宋_GB2312" w:cs="仿宋_GB2312"/>
          <w:color w:val="auto"/>
          <w:w w:val="100"/>
          <w:highlight w:val="none"/>
          <w:lang w:eastAsia="zh-CN"/>
        </w:rPr>
      </w:pPr>
      <w:r>
        <w:rPr>
          <w:rFonts w:ascii="仿宋_GB2312" w:eastAsia="仿宋_GB2312" w:hAnsi="仿宋_GB2312" w:cs="仿宋_GB2312" w:hint="eastAsia"/>
          <w:color w:val="auto"/>
          <w:spacing w:val="1"/>
          <w:w w:val="100"/>
          <w:highlight w:val="none"/>
          <w:lang w:eastAsia="zh-CN"/>
        </w:rPr>
        <w:t>3.</w:t>
      </w:r>
      <w:r>
        <w:rPr>
          <w:rFonts w:ascii="仿宋_GB2312" w:eastAsia="仿宋_GB2312" w:hAnsi="仿宋_GB2312" w:cs="仿宋_GB2312" w:hint="eastAsia"/>
          <w:color w:val="auto"/>
          <w:w w:val="100"/>
          <w:highlight w:val="none"/>
          <w:lang w:eastAsia="zh-CN"/>
        </w:rPr>
        <w:t>1.3交</w:t>
      </w:r>
      <w:r>
        <w:rPr>
          <w:rFonts w:ascii="仿宋_GB2312" w:eastAsia="仿宋_GB2312" w:hAnsi="仿宋_GB2312" w:cs="仿宋_GB2312" w:hint="eastAsia"/>
          <w:color w:val="auto"/>
          <w:spacing w:val="2"/>
          <w:w w:val="100"/>
          <w:highlight w:val="none"/>
          <w:lang w:eastAsia="zh-CN"/>
        </w:rPr>
        <w:t>易组织</w:t>
      </w:r>
      <w:r>
        <w:rPr>
          <w:rFonts w:ascii="仿宋_GB2312" w:eastAsia="仿宋_GB2312" w:hAnsi="仿宋_GB2312" w:cs="仿宋_GB2312" w:hint="eastAsia"/>
          <w:color w:val="auto"/>
          <w:w w:val="100"/>
          <w:highlight w:val="none"/>
          <w:lang w:eastAsia="zh-CN"/>
        </w:rPr>
        <w:t>方式</w:t>
      </w:r>
    </w:p>
    <w:p>
      <w:pPr>
        <w:pStyle w:val="16"/>
        <w:pageBreakBefore w:val="0"/>
        <w:kinsoku/>
        <w:wordWrap/>
        <w:overflowPunct/>
        <w:topLinePunct w:val="0"/>
        <w:autoSpaceDE/>
        <w:autoSpaceDN/>
        <w:bidi w:val="0"/>
        <w:adjustRightInd/>
        <w:spacing w:line="560" w:lineRule="exact"/>
        <w:ind w:left="0" w:right="0" w:firstLine="640" w:firstLineChars="200"/>
        <w:jc w:val="both"/>
        <w:textAlignment w:val="auto"/>
        <w:outlineLvl w:val="9"/>
        <w:rPr>
          <w:rFonts w:hAnsi="仿宋_GB2312" w:cs="仿宋_GB2312" w:hint="eastAsia"/>
          <w:color w:val="auto"/>
          <w:w w:val="100"/>
          <w:highlight w:val="none"/>
          <w:lang w:eastAsia="zh-CN"/>
        </w:rPr>
      </w:pPr>
      <w:r>
        <w:rPr>
          <w:rFonts w:hAnsi="仿宋_GB2312" w:cs="仿宋_GB2312" w:hint="eastAsia"/>
          <w:color w:val="auto"/>
          <w:w w:val="100"/>
          <w:highlight w:val="none"/>
          <w:lang w:eastAsia="zh-CN"/>
        </w:rPr>
        <w:t>根据交易标的物组织方式不同，海南</w:t>
      </w:r>
      <w:r>
        <w:rPr>
          <w:rFonts w:hAnsi="仿宋_GB2312" w:cs="仿宋_GB2312" w:hint="eastAsia"/>
          <w:color w:val="auto"/>
          <w:w w:val="100"/>
          <w:highlight w:val="none"/>
          <w:lang w:val="en-US" w:eastAsia="zh-CN"/>
        </w:rPr>
        <w:t>中长期</w:t>
      </w:r>
      <w:r>
        <w:rPr>
          <w:rFonts w:hAnsi="仿宋_GB2312" w:cs="仿宋_GB2312" w:hint="eastAsia"/>
          <w:color w:val="auto"/>
          <w:w w:val="100"/>
          <w:highlight w:val="none"/>
          <w:lang w:eastAsia="zh-CN"/>
        </w:rPr>
        <w:t>电能量交易包括双边协商交易和集中交易两种方式。其中集中交易包括集中竞价交易、滚动撮合交易和挂牌交易三种形式。</w:t>
      </w:r>
    </w:p>
    <w:p>
      <w:pPr>
        <w:pStyle w:val="BodyText"/>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ascii="仿宋_GB2312" w:eastAsia="仿宋_GB2312" w:hAnsi="仿宋_GB2312" w:cs="仿宋_GB2312"/>
          <w:color w:val="auto"/>
          <w:w w:val="100"/>
          <w:highlight w:val="none"/>
          <w:lang w:eastAsia="zh-CN"/>
        </w:rPr>
      </w:pPr>
      <w:r>
        <w:rPr>
          <w:rFonts w:ascii="仿宋_GB2312" w:eastAsia="仿宋_GB2312" w:hAnsi="仿宋_GB2312" w:cs="仿宋_GB2312" w:hint="eastAsia"/>
          <w:color w:val="auto"/>
          <w:w w:val="100"/>
          <w:highlight w:val="none"/>
          <w:lang w:eastAsia="zh-CN"/>
        </w:rPr>
        <w:t>3.1.3.1双边协商交易：双边协商交易是指经营主体间通过自主协商形成交易结果的交易方式，由合同双方在规定时间节点前通过交易系统完成交易申报与确认，</w:t>
      </w:r>
      <w:r>
        <w:rPr>
          <w:rFonts w:ascii="仿宋_GB2312" w:eastAsia="仿宋_GB2312" w:hAnsi="仿宋_GB2312" w:cs="仿宋_GB2312" w:hint="eastAsia"/>
          <w:color w:val="auto"/>
          <w:w w:val="100"/>
          <w:highlight w:val="none"/>
          <w:lang w:val="en-US" w:eastAsia="zh-CN"/>
        </w:rPr>
        <w:t>可</w:t>
      </w:r>
      <w:r>
        <w:rPr>
          <w:rFonts w:ascii="仿宋_GB2312" w:eastAsia="仿宋_GB2312" w:hAnsi="仿宋_GB2312" w:cs="仿宋_GB2312" w:hint="eastAsia"/>
          <w:color w:val="auto"/>
          <w:w w:val="100"/>
          <w:highlight w:val="none"/>
          <w:lang w:eastAsia="zh-CN"/>
        </w:rPr>
        <w:t>采用自定义</w:t>
      </w:r>
      <w:r>
        <w:rPr>
          <w:rFonts w:ascii="仿宋_GB2312" w:eastAsia="仿宋_GB2312" w:hAnsi="仿宋_GB2312" w:cs="仿宋_GB2312" w:hint="eastAsia"/>
          <w:color w:val="auto"/>
          <w:w w:val="100"/>
          <w:highlight w:val="none"/>
          <w:lang w:val="en-US" w:eastAsia="zh-CN"/>
        </w:rPr>
        <w:t>或典型</w:t>
      </w:r>
      <w:r>
        <w:rPr>
          <w:rFonts w:ascii="仿宋_GB2312" w:eastAsia="仿宋_GB2312" w:hAnsi="仿宋_GB2312" w:cs="仿宋_GB2312" w:hint="eastAsia"/>
          <w:color w:val="auto"/>
          <w:w w:val="100"/>
          <w:highlight w:val="none"/>
          <w:lang w:eastAsia="zh-CN"/>
        </w:rPr>
        <w:t>分解曲线，经交易校核通过后生效。</w:t>
      </w:r>
    </w:p>
    <w:p>
      <w:pPr>
        <w:pStyle w:val="BodyText"/>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ascii="仿宋_GB2312" w:eastAsia="仿宋_GB2312" w:hAnsi="仿宋_GB2312" w:cs="仿宋_GB2312"/>
          <w:color w:val="auto"/>
          <w:w w:val="100"/>
          <w:highlight w:val="none"/>
          <w:lang w:eastAsia="zh-CN"/>
        </w:rPr>
      </w:pPr>
      <w:r>
        <w:rPr>
          <w:rFonts w:ascii="仿宋_GB2312" w:eastAsia="仿宋_GB2312" w:hAnsi="仿宋_GB2312" w:cs="仿宋_GB2312" w:hint="eastAsia"/>
          <w:color w:val="auto"/>
          <w:w w:val="100"/>
          <w:highlight w:val="none"/>
          <w:lang w:eastAsia="zh-CN"/>
        </w:rPr>
        <w:t>3.1.3.2集中竞价交易：集中竞价交易是指设置交易</w:t>
      </w:r>
      <w:r>
        <w:rPr>
          <w:rFonts w:ascii="仿宋_GB2312" w:eastAsia="仿宋_GB2312" w:hAnsi="仿宋_GB2312" w:cs="仿宋_GB2312" w:hint="eastAsia"/>
          <w:color w:val="auto"/>
          <w:w w:val="100"/>
          <w:highlight w:val="none"/>
          <w:lang w:val="en-US" w:eastAsia="zh-CN"/>
        </w:rPr>
        <w:t>申报</w:t>
      </w:r>
      <w:r>
        <w:rPr>
          <w:rFonts w:ascii="仿宋_GB2312" w:eastAsia="仿宋_GB2312" w:hAnsi="仿宋_GB2312" w:cs="仿宋_GB2312" w:hint="eastAsia"/>
          <w:color w:val="auto"/>
          <w:w w:val="100"/>
          <w:highlight w:val="none"/>
          <w:lang w:eastAsia="zh-CN"/>
        </w:rPr>
        <w:t>截止时间，交易系统汇总经营主体提交的交易申报信息，按照市场规则进行统一的市场出清，发布市场出清结果，采用</w:t>
      </w:r>
      <w:r>
        <w:rPr>
          <w:rFonts w:ascii="仿宋_GB2312" w:eastAsia="仿宋_GB2312" w:hAnsi="仿宋_GB2312" w:cs="仿宋_GB2312" w:hint="eastAsia"/>
          <w:color w:val="auto"/>
          <w:w w:val="100"/>
          <w:highlight w:val="none"/>
          <w:lang w:val="en-US" w:eastAsia="zh-CN"/>
        </w:rPr>
        <w:t>典型</w:t>
      </w:r>
      <w:r>
        <w:rPr>
          <w:rFonts w:ascii="仿宋_GB2312" w:eastAsia="仿宋_GB2312" w:hAnsi="仿宋_GB2312" w:cs="仿宋_GB2312" w:hint="eastAsia"/>
          <w:color w:val="auto"/>
          <w:w w:val="100"/>
          <w:highlight w:val="none"/>
          <w:lang w:eastAsia="zh-CN"/>
        </w:rPr>
        <w:t>分解曲线</w:t>
      </w:r>
      <w:r>
        <w:rPr>
          <w:rFonts w:ascii="仿宋_GB2312" w:eastAsia="仿宋_GB2312" w:hAnsi="仿宋_GB2312" w:cs="仿宋_GB2312" w:hint="eastAsia"/>
          <w:color w:val="auto"/>
          <w:w w:val="100"/>
          <w:highlight w:val="none"/>
          <w:lang w:val="en-US" w:eastAsia="zh-CN"/>
        </w:rPr>
        <w:t>或</w:t>
      </w:r>
      <w:r>
        <w:rPr>
          <w:rFonts w:ascii="仿宋_GB2312" w:eastAsia="仿宋_GB2312" w:hAnsi="仿宋_GB2312" w:cs="仿宋_GB2312" w:hint="eastAsia"/>
          <w:color w:val="auto"/>
          <w:w w:val="100"/>
          <w:highlight w:val="none"/>
          <w:lang w:eastAsia="zh-CN"/>
        </w:rPr>
        <w:t>24小时分时电量交易，经交易校核通过后生效。</w:t>
      </w:r>
    </w:p>
    <w:p>
      <w:pPr>
        <w:pStyle w:val="BodyText"/>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ascii="仿宋_GB2312" w:eastAsia="仿宋_GB2312" w:hAnsi="仿宋_GB2312" w:cs="仿宋_GB2312"/>
          <w:color w:val="auto"/>
          <w:w w:val="100"/>
          <w:highlight w:val="none"/>
          <w:lang w:eastAsia="zh-CN"/>
        </w:rPr>
      </w:pPr>
      <w:r>
        <w:rPr>
          <w:rFonts w:ascii="仿宋_GB2312" w:eastAsia="仿宋_GB2312" w:hAnsi="仿宋_GB2312" w:cs="仿宋_GB2312" w:hint="eastAsia"/>
          <w:color w:val="auto"/>
          <w:w w:val="100"/>
          <w:highlight w:val="none"/>
          <w:lang w:eastAsia="zh-CN"/>
        </w:rPr>
        <w:t>3.1.3.3滚动撮合交易：滚动撮合交易是指在规定的交易起止时间内，经营主体可以随时提交购电或者售电信息，交易系统按照价格优先、时间优先的原则进行滚动撮合成交，采用</w:t>
      </w:r>
      <w:r>
        <w:rPr>
          <w:rFonts w:ascii="仿宋_GB2312" w:eastAsia="仿宋_GB2312" w:hAnsi="仿宋_GB2312" w:cs="仿宋_GB2312" w:hint="eastAsia"/>
          <w:color w:val="auto"/>
          <w:w w:val="100"/>
          <w:highlight w:val="none"/>
          <w:lang w:val="en-US" w:eastAsia="zh-CN"/>
        </w:rPr>
        <w:t>典型</w:t>
      </w:r>
      <w:r>
        <w:rPr>
          <w:rFonts w:ascii="仿宋_GB2312" w:eastAsia="仿宋_GB2312" w:hAnsi="仿宋_GB2312" w:cs="仿宋_GB2312" w:hint="eastAsia"/>
          <w:color w:val="auto"/>
          <w:w w:val="100"/>
          <w:highlight w:val="none"/>
          <w:lang w:eastAsia="zh-CN"/>
        </w:rPr>
        <w:t>分解曲线</w:t>
      </w:r>
      <w:r>
        <w:rPr>
          <w:rFonts w:ascii="仿宋_GB2312" w:eastAsia="仿宋_GB2312" w:hAnsi="仿宋_GB2312" w:cs="仿宋_GB2312" w:hint="eastAsia"/>
          <w:color w:val="auto"/>
          <w:w w:val="100"/>
          <w:highlight w:val="none"/>
          <w:lang w:val="en-US" w:eastAsia="zh-CN"/>
        </w:rPr>
        <w:t>或</w:t>
      </w:r>
      <w:r>
        <w:rPr>
          <w:rFonts w:ascii="仿宋_GB2312" w:eastAsia="仿宋_GB2312" w:hAnsi="仿宋_GB2312" w:cs="仿宋_GB2312" w:hint="eastAsia"/>
          <w:color w:val="auto"/>
          <w:w w:val="100"/>
          <w:highlight w:val="none"/>
          <w:lang w:eastAsia="zh-CN"/>
        </w:rPr>
        <w:t>24小时分时电量交易，经交易校核通过后生效。</w:t>
      </w:r>
    </w:p>
    <w:p>
      <w:pPr>
        <w:pStyle w:val="BodyText"/>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ascii="仿宋_GB2312" w:eastAsia="仿宋_GB2312" w:hAnsi="仿宋_GB2312" w:cs="仿宋_GB2312"/>
          <w:color w:val="auto"/>
          <w:w w:val="100"/>
          <w:highlight w:val="none"/>
          <w:lang w:eastAsia="zh-CN"/>
        </w:rPr>
      </w:pPr>
      <w:r>
        <w:rPr>
          <w:rFonts w:ascii="仿宋_GB2312" w:eastAsia="仿宋_GB2312" w:hAnsi="仿宋_GB2312" w:cs="仿宋_GB2312" w:hint="eastAsia"/>
          <w:color w:val="auto"/>
          <w:w w:val="100"/>
          <w:highlight w:val="none"/>
          <w:lang w:eastAsia="zh-CN"/>
        </w:rPr>
        <w:t>3.1.3.4挂牌交易：挂牌交易是指经营主体</w:t>
      </w:r>
      <w:r>
        <w:rPr>
          <w:rFonts w:ascii="仿宋_GB2312" w:eastAsia="仿宋_GB2312" w:hAnsi="仿宋_GB2312" w:cs="仿宋_GB2312" w:hint="eastAsia"/>
          <w:color w:val="auto"/>
          <w:w w:val="100"/>
          <w:highlight w:val="none"/>
          <w:lang w:val="en-US" w:eastAsia="zh-CN"/>
        </w:rPr>
        <w:t>和电网企业</w:t>
      </w:r>
      <w:r>
        <w:rPr>
          <w:rFonts w:ascii="仿宋_GB2312" w:eastAsia="仿宋_GB2312" w:hAnsi="仿宋_GB2312" w:cs="仿宋_GB2312" w:hint="eastAsia"/>
          <w:color w:val="auto"/>
          <w:w w:val="100"/>
          <w:highlight w:val="none"/>
          <w:lang w:eastAsia="zh-CN"/>
        </w:rPr>
        <w:t>通过交易系统，将需求电量或者可提供电量的数量和价格等信息对外发布要约，由符合资格要求的另一方提出接受该要约的申请。</w:t>
      </w:r>
      <w:r>
        <w:rPr>
          <w:rFonts w:ascii="仿宋_GB2312" w:eastAsia="仿宋_GB2312" w:hAnsi="仿宋_GB2312" w:cs="仿宋_GB2312" w:hint="eastAsia"/>
          <w:color w:val="auto"/>
          <w:w w:val="100"/>
          <w:highlight w:val="none"/>
          <w:lang w:val="en-US" w:eastAsia="zh-CN"/>
        </w:rPr>
        <w:t>可</w:t>
      </w:r>
      <w:r>
        <w:rPr>
          <w:rFonts w:ascii="仿宋_GB2312" w:eastAsia="仿宋_GB2312" w:hAnsi="仿宋_GB2312" w:cs="仿宋_GB2312" w:hint="eastAsia"/>
          <w:color w:val="auto"/>
          <w:w w:val="100"/>
          <w:highlight w:val="none"/>
          <w:lang w:eastAsia="zh-CN"/>
        </w:rPr>
        <w:t>采用自定义</w:t>
      </w:r>
      <w:r>
        <w:rPr>
          <w:rFonts w:ascii="仿宋_GB2312" w:eastAsia="仿宋_GB2312" w:hAnsi="仿宋_GB2312" w:cs="仿宋_GB2312" w:hint="eastAsia"/>
          <w:color w:val="auto"/>
          <w:w w:val="100"/>
          <w:highlight w:val="none"/>
          <w:lang w:val="en-US" w:eastAsia="zh-CN"/>
        </w:rPr>
        <w:t>分解曲线、典型</w:t>
      </w:r>
      <w:r>
        <w:rPr>
          <w:rFonts w:ascii="仿宋_GB2312" w:eastAsia="仿宋_GB2312" w:hAnsi="仿宋_GB2312" w:cs="仿宋_GB2312" w:hint="eastAsia"/>
          <w:color w:val="auto"/>
          <w:w w:val="100"/>
          <w:highlight w:val="none"/>
          <w:lang w:eastAsia="zh-CN"/>
        </w:rPr>
        <w:t>分解曲线</w:t>
      </w:r>
      <w:r>
        <w:rPr>
          <w:rFonts w:ascii="仿宋_GB2312" w:eastAsia="仿宋_GB2312" w:hAnsi="仿宋_GB2312" w:cs="仿宋_GB2312" w:hint="eastAsia"/>
          <w:color w:val="auto"/>
          <w:w w:val="100"/>
          <w:highlight w:val="none"/>
          <w:lang w:val="en-US" w:eastAsia="zh-CN"/>
        </w:rPr>
        <w:t>或</w:t>
      </w:r>
      <w:r>
        <w:rPr>
          <w:rFonts w:ascii="仿宋_GB2312" w:eastAsia="仿宋_GB2312" w:hAnsi="仿宋_GB2312" w:cs="仿宋_GB2312" w:hint="eastAsia"/>
          <w:color w:val="auto"/>
          <w:w w:val="100"/>
          <w:highlight w:val="none"/>
          <w:lang w:eastAsia="zh-CN"/>
        </w:rPr>
        <w:t>24小时分时电量交易，经交易校核通过后生效。</w:t>
      </w:r>
    </w:p>
    <w:p>
      <w:pPr>
        <w:pStyle w:val="BodyText"/>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ascii="仿宋_GB2312" w:eastAsia="仿宋_GB2312" w:hAnsi="仿宋_GB2312" w:cs="仿宋_GB2312"/>
          <w:color w:val="auto"/>
          <w:w w:val="100"/>
          <w:highlight w:val="none"/>
          <w:lang w:eastAsia="zh-CN"/>
        </w:rPr>
      </w:pPr>
      <w:r>
        <w:rPr>
          <w:rFonts w:ascii="仿宋_GB2312" w:eastAsia="仿宋_GB2312" w:hAnsi="仿宋_GB2312" w:cs="仿宋_GB2312" w:hint="eastAsia"/>
          <w:color w:val="auto"/>
          <w:w w:val="100"/>
          <w:highlight w:val="none"/>
          <w:lang w:eastAsia="zh-CN"/>
        </w:rPr>
        <w:t>3.1.3.5以双边协商和滚动撮合形式开展的电力中长期交易具备条件后连续开市，以集中竞价交易形式开展的电力中长期交易应当实现定期开市。双边合同在双边交易申报截止时间前均可提交或者修改。</w:t>
      </w:r>
    </w:p>
    <w:p>
      <w:pPr>
        <w:pStyle w:val="BodyText"/>
        <w:pageBreakBefore w:val="0"/>
        <w:kinsoku/>
        <w:wordWrap/>
        <w:overflowPunct/>
        <w:topLinePunct w:val="0"/>
        <w:autoSpaceDE/>
        <w:autoSpaceDN/>
        <w:bidi w:val="0"/>
        <w:adjustRightInd/>
        <w:spacing w:line="560" w:lineRule="exact"/>
        <w:ind w:left="0" w:right="0" w:firstLine="640" w:firstLineChars="200"/>
        <w:jc w:val="both"/>
        <w:textAlignment w:val="auto"/>
        <w:outlineLvl w:val="1"/>
        <w:rPr>
          <w:rFonts w:ascii="仿宋_GB2312" w:eastAsia="仿宋_GB2312" w:hAnsi="仿宋_GB2312" w:cs="仿宋_GB2312" w:hint="eastAsia"/>
          <w:b/>
          <w:bCs/>
          <w:color w:val="auto"/>
          <w:w w:val="100"/>
          <w:kern w:val="44"/>
          <w:highlight w:val="none"/>
          <w:lang w:eastAsia="zh-CN"/>
        </w:rPr>
      </w:pPr>
      <w:r>
        <w:rPr>
          <w:rFonts w:ascii="仿宋_GB2312" w:eastAsia="仿宋_GB2312" w:hAnsi="仿宋_GB2312" w:cs="仿宋_GB2312" w:hint="eastAsia"/>
          <w:b/>
          <w:bCs/>
          <w:color w:val="auto"/>
          <w:w w:val="100"/>
          <w:kern w:val="44"/>
          <w:highlight w:val="none"/>
          <w:lang w:eastAsia="zh-CN"/>
        </w:rPr>
        <w:t>3.2中长期与现货市场衔接</w:t>
      </w:r>
    </w:p>
    <w:p>
      <w:pPr>
        <w:pStyle w:val="BodyText"/>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2"/>
        <w:rPr>
          <w:rFonts w:ascii="仿宋_GB2312" w:eastAsia="仿宋_GB2312" w:hAnsi="仿宋_GB2312" w:cs="仿宋_GB2312"/>
          <w:b w:val="0"/>
          <w:bCs w:val="0"/>
          <w:color w:val="auto"/>
          <w:w w:val="100"/>
          <w:highlight w:val="none"/>
          <w:lang w:eastAsia="zh-CN"/>
        </w:rPr>
      </w:pPr>
      <w:r>
        <w:rPr>
          <w:rFonts w:ascii="仿宋_GB2312" w:eastAsia="仿宋_GB2312" w:hAnsi="仿宋_GB2312" w:cs="仿宋_GB2312" w:hint="eastAsia"/>
          <w:b w:val="0"/>
          <w:bCs w:val="0"/>
          <w:color w:val="auto"/>
          <w:w w:val="100"/>
          <w:kern w:val="44"/>
          <w:highlight w:val="none"/>
          <w:lang w:val="en-US" w:eastAsia="zh-CN"/>
        </w:rPr>
        <w:t>3.2.1</w:t>
      </w:r>
      <w:r>
        <w:rPr>
          <w:rFonts w:ascii="仿宋_GB2312" w:eastAsia="仿宋_GB2312" w:hAnsi="仿宋_GB2312" w:cs="仿宋_GB2312" w:hint="eastAsia"/>
          <w:b w:val="0"/>
          <w:bCs w:val="0"/>
          <w:color w:val="auto"/>
          <w:w w:val="100"/>
          <w:highlight w:val="none"/>
          <w:lang w:eastAsia="zh-CN"/>
        </w:rPr>
        <w:t>跨省中长期</w:t>
      </w:r>
      <w:r>
        <w:rPr>
          <w:rFonts w:ascii="仿宋_GB2312" w:eastAsia="仿宋_GB2312" w:hAnsi="仿宋_GB2312" w:cs="仿宋_GB2312" w:hint="eastAsia"/>
          <w:b w:val="0"/>
          <w:bCs w:val="0"/>
          <w:color w:val="auto"/>
          <w:w w:val="100"/>
          <w:highlight w:val="none"/>
          <w:lang w:val="en-US" w:eastAsia="zh-CN"/>
        </w:rPr>
        <w:t>电能量</w:t>
      </w:r>
      <w:r>
        <w:rPr>
          <w:rFonts w:ascii="仿宋_GB2312" w:eastAsia="仿宋_GB2312" w:hAnsi="仿宋_GB2312" w:cs="仿宋_GB2312" w:hint="eastAsia"/>
          <w:b w:val="0"/>
          <w:bCs w:val="0"/>
          <w:color w:val="auto"/>
          <w:w w:val="100"/>
          <w:highlight w:val="none"/>
          <w:lang w:eastAsia="zh-CN"/>
        </w:rPr>
        <w:t>交易</w:t>
      </w:r>
      <w:r>
        <w:rPr>
          <w:rFonts w:ascii="仿宋_GB2312" w:eastAsia="仿宋_GB2312" w:hAnsi="仿宋_GB2312" w:cs="仿宋_GB2312" w:hint="eastAsia"/>
          <w:b w:val="0"/>
          <w:bCs w:val="0"/>
          <w:color w:val="auto"/>
          <w:w w:val="100"/>
          <w:highlight w:val="none"/>
          <w:lang w:val="en-US" w:eastAsia="zh-CN"/>
        </w:rPr>
        <w:t>与现货交易</w:t>
      </w:r>
      <w:r>
        <w:rPr>
          <w:rFonts w:ascii="仿宋_GB2312" w:eastAsia="仿宋_GB2312" w:hAnsi="仿宋_GB2312" w:cs="仿宋_GB2312" w:hint="eastAsia"/>
          <w:b w:val="0"/>
          <w:bCs w:val="0"/>
          <w:color w:val="auto"/>
          <w:w w:val="100"/>
          <w:highlight w:val="none"/>
          <w:lang w:eastAsia="zh-CN"/>
        </w:rPr>
        <w:t>衔接</w:t>
      </w:r>
    </w:p>
    <w:p>
      <w:pPr>
        <w:pStyle w:val="BodyText"/>
        <w:pageBreakBefore w:val="0"/>
        <w:kinsoku/>
        <w:wordWrap/>
        <w:overflowPunct/>
        <w:topLinePunct w:val="0"/>
        <w:autoSpaceDE/>
        <w:autoSpaceDN/>
        <w:bidi w:val="0"/>
        <w:adjustRightInd/>
        <w:spacing w:line="560" w:lineRule="exact"/>
        <w:ind w:left="0" w:right="0" w:firstLine="640" w:firstLineChars="200"/>
        <w:jc w:val="both"/>
        <w:textAlignment w:val="auto"/>
        <w:outlineLvl w:val="9"/>
        <w:rPr>
          <w:rFonts w:ascii="仿宋_GB2312" w:eastAsia="仿宋_GB2312" w:hAnsi="仿宋_GB2312" w:cs="仿宋_GB2312" w:hint="eastAsia"/>
          <w:color w:val="auto"/>
          <w:w w:val="100"/>
          <w:highlight w:val="none"/>
          <w:lang w:eastAsia="zh-CN"/>
        </w:rPr>
      </w:pPr>
      <w:r>
        <w:rPr>
          <w:rFonts w:ascii="仿宋_GB2312" w:eastAsia="仿宋_GB2312" w:hAnsi="仿宋_GB2312" w:cs="仿宋_GB2312" w:hint="eastAsia"/>
          <w:color w:val="auto"/>
          <w:w w:val="100"/>
          <w:highlight w:val="none"/>
          <w:lang w:eastAsia="zh-CN"/>
        </w:rPr>
        <w:t>跨省中长期</w:t>
      </w:r>
      <w:r>
        <w:rPr>
          <w:rFonts w:ascii="仿宋_GB2312" w:eastAsia="仿宋_GB2312" w:hAnsi="仿宋_GB2312" w:cs="仿宋_GB2312" w:hint="eastAsia"/>
          <w:color w:val="auto"/>
          <w:w w:val="100"/>
          <w:highlight w:val="none"/>
          <w:lang w:val="en-US" w:eastAsia="zh-CN"/>
        </w:rPr>
        <w:t>电能量</w:t>
      </w:r>
      <w:r>
        <w:rPr>
          <w:rFonts w:ascii="仿宋_GB2312" w:eastAsia="仿宋_GB2312" w:hAnsi="仿宋_GB2312" w:cs="仿宋_GB2312" w:hint="eastAsia"/>
          <w:color w:val="auto"/>
          <w:w w:val="100"/>
          <w:highlight w:val="none"/>
          <w:lang w:eastAsia="zh-CN"/>
        </w:rPr>
        <w:t>交易由广州电力交易中心统筹组织开展，</w:t>
      </w:r>
      <w:r>
        <w:rPr>
          <w:rFonts w:ascii="仿宋_GB2312" w:eastAsia="仿宋_GB2312" w:hAnsi="仿宋_GB2312" w:cs="仿宋_GB2312" w:hint="eastAsia"/>
          <w:color w:val="auto"/>
          <w:w w:val="100"/>
          <w:highlight w:val="none"/>
          <w:lang w:val="en-US" w:eastAsia="zh-CN"/>
        </w:rPr>
        <w:t>海南</w:t>
      </w:r>
      <w:r>
        <w:rPr>
          <w:rFonts w:ascii="仿宋_GB2312" w:eastAsia="仿宋_GB2312" w:hAnsi="仿宋_GB2312" w:cs="仿宋_GB2312" w:hint="eastAsia"/>
          <w:color w:val="auto"/>
          <w:w w:val="100"/>
          <w:highlight w:val="none"/>
          <w:lang w:eastAsia="zh-CN"/>
        </w:rPr>
        <w:t>省内</w:t>
      </w:r>
      <w:r>
        <w:rPr>
          <w:rFonts w:ascii="仿宋_GB2312" w:eastAsia="仿宋_GB2312" w:hAnsi="仿宋_GB2312" w:cs="仿宋_GB2312" w:hint="eastAsia"/>
          <w:color w:val="auto"/>
          <w:w w:val="100"/>
          <w:sz w:val="32"/>
          <w:szCs w:val="32"/>
          <w:highlight w:val="none"/>
          <w:lang w:val="en-US" w:eastAsia="zh-CN"/>
        </w:rPr>
        <w:t>市场成员</w:t>
      </w:r>
      <w:r>
        <w:rPr>
          <w:rFonts w:ascii="仿宋_GB2312" w:eastAsia="仿宋_GB2312" w:hAnsi="仿宋_GB2312" w:cs="仿宋_GB2312" w:hint="eastAsia"/>
          <w:color w:val="auto"/>
          <w:w w:val="100"/>
          <w:highlight w:val="none"/>
          <w:lang w:eastAsia="zh-CN"/>
        </w:rPr>
        <w:t>的跨省中长期</w:t>
      </w:r>
      <w:r>
        <w:rPr>
          <w:rFonts w:ascii="仿宋_GB2312" w:eastAsia="仿宋_GB2312" w:hAnsi="仿宋_GB2312" w:cs="仿宋_GB2312" w:hint="eastAsia"/>
          <w:color w:val="auto"/>
          <w:w w:val="100"/>
          <w:highlight w:val="none"/>
          <w:lang w:val="en-US" w:eastAsia="zh-CN"/>
        </w:rPr>
        <w:t>电能量交易</w:t>
      </w:r>
      <w:r>
        <w:rPr>
          <w:rFonts w:ascii="仿宋_GB2312" w:eastAsia="仿宋_GB2312" w:hAnsi="仿宋_GB2312" w:cs="仿宋_GB2312" w:hint="eastAsia"/>
          <w:color w:val="auto"/>
          <w:w w:val="100"/>
          <w:highlight w:val="none"/>
          <w:lang w:eastAsia="zh-CN"/>
        </w:rPr>
        <w:t>电量按如下原则衔接：</w:t>
      </w:r>
    </w:p>
    <w:p>
      <w:pPr>
        <w:pStyle w:val="BodyText"/>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ascii="仿宋_GB2312" w:eastAsia="仿宋_GB2312" w:hAnsi="仿宋_GB2312" w:cs="仿宋_GB2312" w:hint="eastAsia"/>
          <w:color w:val="auto"/>
          <w:w w:val="100"/>
          <w:highlight w:val="none"/>
          <w:lang w:eastAsia="zh-CN"/>
        </w:rPr>
      </w:pPr>
      <w:r>
        <w:rPr>
          <w:rFonts w:ascii="仿宋_GB2312" w:eastAsia="仿宋_GB2312" w:hAnsi="仿宋_GB2312" w:cs="仿宋_GB2312" w:hint="eastAsia"/>
          <w:color w:val="auto"/>
          <w:w w:val="100"/>
          <w:highlight w:val="none"/>
          <w:lang w:eastAsia="zh-CN"/>
        </w:rPr>
        <w:t>跨省中长期市场化</w:t>
      </w:r>
      <w:r>
        <w:rPr>
          <w:rFonts w:ascii="仿宋_GB2312" w:eastAsia="仿宋_GB2312" w:hAnsi="仿宋_GB2312" w:cs="仿宋_GB2312" w:hint="eastAsia"/>
          <w:color w:val="auto"/>
          <w:highlight w:val="none"/>
          <w:lang w:eastAsia="zh-CN"/>
        </w:rPr>
        <w:t>增量电量</w:t>
      </w:r>
      <w:r>
        <w:rPr>
          <w:rFonts w:ascii="仿宋_GB2312" w:eastAsia="仿宋_GB2312" w:hAnsi="仿宋_GB2312" w:cs="仿宋_GB2312" w:hint="eastAsia"/>
          <w:color w:val="auto"/>
          <w:w w:val="100"/>
          <w:highlight w:val="none"/>
          <w:lang w:eastAsia="zh-CN"/>
        </w:rPr>
        <w:t>交易按照单个送电类别</w:t>
      </w:r>
      <w:r>
        <w:rPr>
          <w:rFonts w:ascii="仿宋_GB2312" w:eastAsia="仿宋_GB2312" w:hAnsi="仿宋_GB2312" w:cs="仿宋_GB2312" w:hint="eastAsia"/>
          <w:color w:val="auto"/>
          <w:w w:val="100"/>
          <w:highlight w:val="none"/>
          <w:lang w:val="en-US" w:eastAsia="zh-CN"/>
        </w:rPr>
        <w:t>进行</w:t>
      </w:r>
      <w:r>
        <w:rPr>
          <w:rFonts w:ascii="仿宋_GB2312" w:eastAsia="仿宋_GB2312" w:hAnsi="仿宋_GB2312" w:cs="仿宋_GB2312" w:hint="eastAsia"/>
          <w:color w:val="auto"/>
          <w:w w:val="100"/>
          <w:highlight w:val="none"/>
          <w:lang w:eastAsia="zh-CN"/>
        </w:rPr>
        <w:t>合约</w:t>
      </w:r>
      <w:r>
        <w:rPr>
          <w:rFonts w:ascii="仿宋_GB2312" w:eastAsia="仿宋_GB2312" w:hAnsi="仿宋_GB2312" w:cs="仿宋_GB2312" w:hint="eastAsia"/>
          <w:color w:val="auto"/>
          <w:w w:val="100"/>
          <w:highlight w:val="none"/>
          <w:lang w:val="en-US" w:eastAsia="zh-CN"/>
        </w:rPr>
        <w:t>分解</w:t>
      </w:r>
      <w:r>
        <w:rPr>
          <w:rFonts w:ascii="仿宋_GB2312" w:eastAsia="仿宋_GB2312" w:hAnsi="仿宋_GB2312" w:cs="仿宋_GB2312" w:hint="eastAsia"/>
          <w:color w:val="auto"/>
          <w:w w:val="100"/>
          <w:highlight w:val="none"/>
          <w:lang w:eastAsia="zh-CN"/>
        </w:rPr>
        <w:t>，</w:t>
      </w:r>
      <w:r>
        <w:rPr>
          <w:rFonts w:ascii="仿宋_GB2312" w:eastAsia="仿宋_GB2312" w:hAnsi="仿宋_GB2312" w:cs="仿宋_GB2312" w:hint="eastAsia"/>
          <w:color w:val="auto"/>
          <w:w w:val="100"/>
          <w:highlight w:val="none"/>
          <w:lang w:val="en-US" w:eastAsia="zh-CN"/>
        </w:rPr>
        <w:t>合约成交方应在运行日前的1个自然日（即D-1日前）依据分解原则完成</w:t>
      </w:r>
      <w:r>
        <w:rPr>
          <w:rFonts w:ascii="仿宋_GB2312" w:eastAsia="仿宋_GB2312" w:hAnsi="仿宋_GB2312" w:cs="仿宋_GB2312" w:hint="eastAsia"/>
          <w:color w:val="auto"/>
          <w:w w:val="100"/>
          <w:highlight w:val="none"/>
          <w:lang w:eastAsia="zh-CN"/>
        </w:rPr>
        <w:t>分解</w:t>
      </w:r>
      <w:r>
        <w:rPr>
          <w:rFonts w:ascii="仿宋_GB2312" w:eastAsia="仿宋_GB2312" w:hAnsi="仿宋_GB2312" w:cs="仿宋_GB2312" w:hint="eastAsia"/>
          <w:color w:val="auto"/>
          <w:w w:val="100"/>
          <w:highlight w:val="none"/>
          <w:lang w:val="en-US" w:eastAsia="zh-CN"/>
        </w:rPr>
        <w:t>并报送广州电力交易中心</w:t>
      </w:r>
      <w:r>
        <w:rPr>
          <w:rFonts w:ascii="仿宋_GB2312" w:eastAsia="仿宋_GB2312" w:hAnsi="仿宋_GB2312" w:cs="仿宋_GB2312" w:hint="eastAsia"/>
          <w:color w:val="auto"/>
          <w:w w:val="100"/>
          <w:highlight w:val="none"/>
          <w:lang w:eastAsia="zh-CN"/>
        </w:rPr>
        <w:t>，分解后每个时刻点电量之和与原合约约定的曲线保持一致。</w:t>
      </w:r>
    </w:p>
    <w:p>
      <w:pPr>
        <w:pStyle w:val="BodyText"/>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2"/>
        <w:rPr>
          <w:rFonts w:ascii="仿宋_GB2312" w:eastAsia="仿宋_GB2312" w:hAnsi="仿宋_GB2312" w:cs="仿宋_GB2312" w:hint="default"/>
          <w:color w:val="auto"/>
          <w:w w:val="100"/>
          <w:highlight w:val="none"/>
          <w:lang w:val="en-US" w:eastAsia="zh-CN"/>
        </w:rPr>
      </w:pPr>
      <w:r>
        <w:rPr>
          <w:rFonts w:ascii="仿宋_GB2312" w:eastAsia="仿宋_GB2312" w:hAnsi="仿宋_GB2312" w:cs="仿宋_GB2312" w:hint="eastAsia"/>
          <w:b w:val="0"/>
          <w:bCs w:val="0"/>
          <w:color w:val="auto"/>
          <w:w w:val="100"/>
          <w:highlight w:val="none"/>
          <w:lang w:val="en-US" w:eastAsia="zh-CN"/>
        </w:rPr>
        <w:t>3.2.2省内中长期电能量交易与现货交易衔接</w:t>
      </w:r>
    </w:p>
    <w:p>
      <w:pPr>
        <w:pStyle w:val="BodyText"/>
        <w:pageBreakBefore w:val="0"/>
        <w:kinsoku/>
        <w:wordWrap/>
        <w:overflowPunct/>
        <w:topLinePunct w:val="0"/>
        <w:autoSpaceDE/>
        <w:autoSpaceDN/>
        <w:bidi w:val="0"/>
        <w:adjustRightInd/>
        <w:spacing w:line="560" w:lineRule="exact"/>
        <w:ind w:left="0" w:right="0" w:firstLine="640" w:firstLineChars="200"/>
        <w:jc w:val="both"/>
        <w:textAlignment w:val="auto"/>
        <w:outlineLvl w:val="9"/>
        <w:rPr>
          <w:rFonts w:hint="eastAsia"/>
          <w:color w:val="auto"/>
          <w:w w:val="100"/>
          <w:highlight w:val="none"/>
          <w:lang w:eastAsia="zh-CN"/>
        </w:rPr>
      </w:pPr>
      <w:r>
        <w:rPr>
          <w:rFonts w:ascii="仿宋_GB2312" w:eastAsia="仿宋_GB2312" w:hAnsi="仿宋_GB2312" w:cs="仿宋_GB2312" w:hint="eastAsia"/>
          <w:color w:val="auto"/>
          <w:w w:val="100"/>
          <w:highlight w:val="none"/>
          <w:lang w:val="en-US" w:eastAsia="zh-CN"/>
        </w:rPr>
        <w:t>南方区域现货结算试运行或正式运行期间，在D-2日前组织发电企业、售电公司、电力批发用户、独立储能和电网企业开展标的时段为D日至月底全部日期或部分日期的双边协商或集中交易，原则上按工作日组织，如遇节假日可相应提前组织。</w:t>
      </w:r>
    </w:p>
    <w:p>
      <w:pPr>
        <w:pStyle w:val="BodyText"/>
        <w:pageBreakBefore w:val="0"/>
        <w:numPr>
          <w:ilvl w:val="255"/>
          <w:numId w:val="0"/>
        </w:numPr>
        <w:kinsoku/>
        <w:wordWrap/>
        <w:overflowPunct/>
        <w:topLinePunct w:val="0"/>
        <w:autoSpaceDE/>
        <w:autoSpaceDN/>
        <w:bidi w:val="0"/>
        <w:adjustRightInd/>
        <w:spacing w:line="560" w:lineRule="exact"/>
        <w:ind w:left="0" w:right="0" w:firstLine="640" w:firstLineChars="200"/>
        <w:jc w:val="both"/>
        <w:textAlignment w:val="auto"/>
        <w:outlineLvl w:val="1"/>
        <w:rPr>
          <w:rFonts w:ascii="仿宋_GB2312" w:eastAsia="仿宋_GB2312" w:hAnsi="仿宋_GB2312" w:cs="仿宋_GB2312"/>
          <w:b/>
          <w:bCs/>
          <w:color w:val="auto"/>
          <w:w w:val="100"/>
          <w:highlight w:val="none"/>
          <w:lang w:eastAsia="zh-CN"/>
        </w:rPr>
      </w:pPr>
      <w:bookmarkStart w:id="15" w:name="_Toc9960"/>
      <w:r>
        <w:rPr>
          <w:rFonts w:ascii="仿宋_GB2312" w:eastAsia="仿宋_GB2312" w:hAnsi="仿宋_GB2312" w:cs="仿宋_GB2312" w:hint="eastAsia"/>
          <w:b/>
          <w:bCs/>
          <w:color w:val="auto"/>
          <w:w w:val="100"/>
          <w:highlight w:val="none"/>
          <w:lang w:eastAsia="zh-CN"/>
        </w:rPr>
        <w:t>3.</w:t>
      </w:r>
      <w:r>
        <w:rPr>
          <w:rFonts w:ascii="仿宋_GB2312" w:eastAsia="仿宋_GB2312" w:hAnsi="仿宋_GB2312" w:cs="仿宋_GB2312" w:hint="eastAsia"/>
          <w:b/>
          <w:bCs/>
          <w:color w:val="auto"/>
          <w:w w:val="100"/>
          <w:highlight w:val="none"/>
          <w:lang w:val="en-US" w:eastAsia="zh-CN"/>
        </w:rPr>
        <w:t>3</w:t>
      </w:r>
      <w:r>
        <w:rPr>
          <w:rFonts w:ascii="仿宋_GB2312" w:eastAsia="仿宋_GB2312" w:hAnsi="仿宋_GB2312" w:cs="仿宋_GB2312" w:hint="eastAsia"/>
          <w:b/>
          <w:bCs/>
          <w:color w:val="auto"/>
          <w:w w:val="100"/>
          <w:highlight w:val="none"/>
          <w:lang w:eastAsia="zh-CN"/>
        </w:rPr>
        <w:t>合同要素</w:t>
      </w:r>
      <w:bookmarkEnd w:id="15"/>
    </w:p>
    <w:p>
      <w:pPr>
        <w:pStyle w:val="BodyText"/>
        <w:pageBreakBefore w:val="0"/>
        <w:tabs>
          <w:tab w:val="left" w:pos="1799"/>
        </w:tabs>
        <w:kinsoku/>
        <w:wordWrap/>
        <w:overflowPunct/>
        <w:topLinePunct w:val="0"/>
        <w:autoSpaceDE/>
        <w:autoSpaceDN/>
        <w:bidi w:val="0"/>
        <w:adjustRightInd/>
        <w:spacing w:line="560" w:lineRule="exact"/>
        <w:ind w:left="0" w:right="0" w:firstLine="640" w:firstLineChars="200"/>
        <w:jc w:val="both"/>
        <w:textAlignment w:val="auto"/>
        <w:rPr>
          <w:rFonts w:ascii="仿宋_GB2312" w:eastAsia="仿宋_GB2312" w:hAnsi="仿宋_GB2312" w:cs="仿宋_GB2312"/>
          <w:color w:val="auto"/>
          <w:w w:val="100"/>
          <w:highlight w:val="none"/>
          <w:lang w:eastAsia="zh-CN"/>
        </w:rPr>
      </w:pPr>
      <w:r>
        <w:rPr>
          <w:rFonts w:ascii="仿宋_GB2312" w:eastAsia="仿宋_GB2312" w:hAnsi="仿宋_GB2312" w:cs="仿宋_GB2312" w:hint="eastAsia"/>
          <w:color w:val="auto"/>
          <w:w w:val="100"/>
          <w:kern w:val="2"/>
          <w:highlight w:val="none"/>
          <w:lang w:eastAsia="zh-CN"/>
        </w:rPr>
        <w:t>中长期电能量交易合同应具备交易单元、合同周期、合同电量、电</w:t>
      </w:r>
      <w:r>
        <w:rPr>
          <w:rFonts w:ascii="仿宋_GB2312" w:eastAsia="仿宋_GB2312" w:hAnsi="仿宋_GB2312" w:cs="仿宋_GB2312" w:hint="eastAsia"/>
          <w:color w:val="auto"/>
          <w:w w:val="100"/>
          <w:highlight w:val="none"/>
          <w:lang w:eastAsia="zh-CN"/>
        </w:rPr>
        <w:t>力曲线或曲线分解机制、交易价格或价格机制、结算参考点等合同要素。</w:t>
      </w:r>
    </w:p>
    <w:p>
      <w:pPr>
        <w:pStyle w:val="16"/>
        <w:pageBreakBefore w:val="0"/>
        <w:kinsoku/>
        <w:wordWrap/>
        <w:overflowPunct/>
        <w:topLinePunct w:val="0"/>
        <w:autoSpaceDE/>
        <w:autoSpaceDN/>
        <w:bidi w:val="0"/>
        <w:adjustRightInd/>
        <w:spacing w:line="560" w:lineRule="exact"/>
        <w:ind w:left="0" w:right="0" w:firstLine="640" w:firstLineChars="200"/>
        <w:jc w:val="both"/>
        <w:textAlignment w:val="auto"/>
        <w:outlineLvl w:val="2"/>
        <w:rPr>
          <w:rFonts w:hAnsi="仿宋_GB2312" w:cs="仿宋_GB2312"/>
          <w:color w:val="auto"/>
          <w:w w:val="100"/>
          <w:highlight w:val="none"/>
        </w:rPr>
      </w:pPr>
      <w:r>
        <w:rPr>
          <w:rFonts w:hAnsi="仿宋_GB2312" w:cs="仿宋_GB2312" w:hint="eastAsia"/>
          <w:color w:val="auto"/>
          <w:w w:val="100"/>
          <w:highlight w:val="none"/>
        </w:rPr>
        <w:t>3.</w:t>
      </w:r>
      <w:r>
        <w:rPr>
          <w:rFonts w:hAnsi="仿宋_GB2312" w:cs="仿宋_GB2312" w:hint="eastAsia"/>
          <w:color w:val="auto"/>
          <w:w w:val="100"/>
          <w:highlight w:val="none"/>
          <w:lang w:val="en-US" w:eastAsia="zh-CN"/>
        </w:rPr>
        <w:t>3</w:t>
      </w:r>
      <w:r>
        <w:rPr>
          <w:rFonts w:hAnsi="仿宋_GB2312" w:cs="仿宋_GB2312" w:hint="eastAsia"/>
          <w:color w:val="auto"/>
          <w:w w:val="100"/>
          <w:highlight w:val="none"/>
        </w:rPr>
        <w:t>.1交易单元</w:t>
      </w:r>
    </w:p>
    <w:p>
      <w:pPr>
        <w:pStyle w:val="16"/>
        <w:keepNext w:val="0"/>
        <w:keepLines w:val="0"/>
        <w:pageBreakBefore w:val="0"/>
        <w:widowControl/>
        <w:kinsoku/>
        <w:wordWrap/>
        <w:overflowPunct/>
        <w:topLinePunct w:val="0"/>
        <w:autoSpaceDE/>
        <w:autoSpaceDN/>
        <w:bidi w:val="0"/>
        <w:adjustRightInd/>
        <w:snapToGrid/>
        <w:spacing w:line="560" w:lineRule="exact"/>
        <w:ind w:left="0" w:right="0" w:firstLine="640" w:firstLineChars="200"/>
        <w:jc w:val="both"/>
        <w:textAlignment w:val="auto"/>
        <w:outlineLvl w:val="9"/>
        <w:rPr>
          <w:rFonts w:hAnsi="仿宋_GB2312" w:cs="仿宋_GB2312" w:hint="eastAsia"/>
          <w:color w:val="auto"/>
          <w:spacing w:val="6"/>
          <w:w w:val="100"/>
          <w:highlight w:val="none"/>
          <w:lang w:val="en-US" w:eastAsia="zh-CN"/>
        </w:rPr>
      </w:pPr>
      <w:r>
        <w:rPr>
          <w:rFonts w:hAnsi="仿宋_GB2312" w:cs="仿宋_GB2312" w:hint="eastAsia"/>
          <w:color w:val="auto"/>
          <w:w w:val="100"/>
          <w:sz w:val="32"/>
          <w:szCs w:val="32"/>
          <w:highlight w:val="none"/>
          <w:lang w:val="en-US" w:eastAsia="zh-CN"/>
        </w:rPr>
        <w:t>各</w:t>
      </w:r>
      <w:r>
        <w:rPr>
          <w:rFonts w:ascii="仿宋_GB2312" w:eastAsia="仿宋_GB2312" w:hAnsi="仿宋_GB2312" w:cs="仿宋_GB2312" w:hint="eastAsia"/>
          <w:color w:val="auto"/>
          <w:w w:val="100"/>
          <w:sz w:val="32"/>
          <w:szCs w:val="32"/>
          <w:highlight w:val="none"/>
          <w:lang w:val="en-US" w:eastAsia="zh-CN"/>
        </w:rPr>
        <w:t>市场成员</w:t>
      </w:r>
      <w:r>
        <w:rPr>
          <w:rFonts w:hAnsi="仿宋_GB2312" w:cs="仿宋_GB2312" w:hint="eastAsia"/>
          <w:color w:val="auto"/>
          <w:w w:val="100"/>
          <w:highlight w:val="none"/>
        </w:rPr>
        <w:t>按交易单元参与中长期</w:t>
      </w:r>
      <w:r>
        <w:rPr>
          <w:rFonts w:hAnsi="仿宋_GB2312" w:cs="仿宋_GB2312" w:hint="eastAsia"/>
          <w:color w:val="auto"/>
          <w:w w:val="100"/>
          <w:highlight w:val="none"/>
          <w:lang w:val="en-US" w:eastAsia="zh-CN"/>
        </w:rPr>
        <w:t>电能量</w:t>
      </w:r>
      <w:r>
        <w:rPr>
          <w:rFonts w:hAnsi="仿宋_GB2312" w:cs="仿宋_GB2312" w:hint="eastAsia"/>
          <w:color w:val="auto"/>
          <w:w w:val="100"/>
          <w:highlight w:val="none"/>
        </w:rPr>
        <w:t>交易，中长期交易的成交双方不能为同一交易单元。</w:t>
      </w:r>
    </w:p>
    <w:p>
      <w:pPr>
        <w:pStyle w:val="16"/>
        <w:keepNext w:val="0"/>
        <w:keepLines w:val="0"/>
        <w:pageBreakBefore w:val="0"/>
        <w:widowControl/>
        <w:kinsoku/>
        <w:wordWrap/>
        <w:overflowPunct/>
        <w:topLinePunct w:val="0"/>
        <w:autoSpaceDE/>
        <w:autoSpaceDN/>
        <w:bidi w:val="0"/>
        <w:adjustRightInd/>
        <w:snapToGrid/>
        <w:spacing w:line="560" w:lineRule="exact"/>
        <w:ind w:left="0" w:right="0" w:firstLine="640" w:firstLineChars="200"/>
        <w:jc w:val="both"/>
        <w:textAlignment w:val="auto"/>
        <w:outlineLvl w:val="9"/>
        <w:rPr>
          <w:rFonts w:eastAsia="仿宋_GB2312" w:hAnsi="仿宋_GB2312" w:cs="仿宋_GB2312" w:hint="default"/>
          <w:color w:val="auto"/>
          <w:w w:val="100"/>
          <w:highlight w:val="none"/>
          <w:lang w:val="en-US" w:eastAsia="zh-CN"/>
        </w:rPr>
      </w:pPr>
      <w:r>
        <w:rPr>
          <w:rFonts w:hAnsi="仿宋_GB2312" w:cs="仿宋_GB2312" w:hint="eastAsia"/>
          <w:color w:val="auto"/>
          <w:spacing w:val="6"/>
          <w:w w:val="100"/>
          <w:highlight w:val="none"/>
          <w:lang w:val="en-US" w:eastAsia="zh-CN"/>
        </w:rPr>
        <w:t>3.3.1.1</w:t>
      </w:r>
      <w:r>
        <w:rPr>
          <w:rFonts w:hAnsi="仿宋_GB2312" w:cs="仿宋_GB2312" w:hint="eastAsia"/>
          <w:color w:val="auto"/>
          <w:spacing w:val="6"/>
          <w:w w:val="100"/>
          <w:highlight w:val="none"/>
        </w:rPr>
        <w:t>发电侧并网主体按照交易单元参与电力市场。原则上，风电、光伏等</w:t>
      </w:r>
      <w:r>
        <w:rPr>
          <w:rFonts w:hAnsi="仿宋_GB2312" w:cs="仿宋_GB2312" w:hint="eastAsia"/>
          <w:color w:val="auto"/>
          <w:spacing w:val="6"/>
          <w:w w:val="100"/>
          <w:highlight w:val="none"/>
          <w:lang w:val="en-US" w:eastAsia="zh-CN"/>
        </w:rPr>
        <w:t>新能源发电企业</w:t>
      </w:r>
      <w:r>
        <w:rPr>
          <w:rFonts w:hAnsi="仿宋_GB2312" w:cs="仿宋_GB2312" w:hint="eastAsia"/>
          <w:color w:val="auto"/>
          <w:spacing w:val="6"/>
          <w:w w:val="100"/>
          <w:highlight w:val="none"/>
        </w:rPr>
        <w:t>以接入同一个上网节点、执行相同标准补贴政策</w:t>
      </w:r>
      <w:r>
        <w:rPr>
          <w:rFonts w:hAnsi="仿宋_GB2312" w:cs="仿宋_GB2312" w:hint="eastAsia"/>
          <w:color w:val="auto"/>
          <w:spacing w:val="6"/>
          <w:w w:val="100"/>
          <w:highlight w:val="none"/>
          <w:lang w:eastAsia="zh-CN"/>
        </w:rPr>
        <w:t>且</w:t>
      </w:r>
      <w:r>
        <w:rPr>
          <w:rFonts w:hAnsi="仿宋_GB2312" w:cs="仿宋_GB2312" w:hint="eastAsia"/>
          <w:color w:val="auto"/>
          <w:spacing w:val="6"/>
          <w:w w:val="100"/>
          <w:highlight w:val="none"/>
        </w:rPr>
        <w:t>属于同一法人单位的</w:t>
      </w:r>
      <w:r>
        <w:rPr>
          <w:rFonts w:ascii="仿宋_GB2312" w:eastAsia="仿宋_GB2312" w:hAnsi="仿宋_GB2312" w:cs="仿宋_GB2312" w:hint="eastAsia"/>
          <w:b w:val="0"/>
          <w:bCs w:val="0"/>
          <w:color w:val="auto"/>
          <w:kern w:val="2"/>
          <w:sz w:val="32"/>
          <w:szCs w:val="32"/>
          <w:highlight w:val="none"/>
          <w:lang w:val="en-US" w:eastAsia="zh-CN" w:bidi="ar"/>
        </w:rPr>
        <w:t>发电机组</w:t>
      </w:r>
      <w:r>
        <w:rPr>
          <w:rFonts w:hAnsi="仿宋_GB2312" w:cs="仿宋_GB2312" w:hint="eastAsia"/>
          <w:color w:val="auto"/>
          <w:spacing w:val="6"/>
          <w:w w:val="100"/>
          <w:highlight w:val="none"/>
        </w:rPr>
        <w:t>为一个交易单元参与电力市场；燃煤、核电等类型电厂以机组为交易单元参与电力市场；燃气等类型电厂以套机为交易单元参与电力市场，对于接入不同上网节点的，则以机组为交易单元参与电力市场。</w:t>
      </w:r>
      <w:r>
        <w:rPr>
          <w:rFonts w:hAnsi="仿宋_GB2312" w:cs="仿宋_GB2312" w:hint="eastAsia"/>
          <w:color w:val="auto"/>
          <w:spacing w:val="6"/>
          <w:w w:val="100"/>
          <w:highlight w:val="none"/>
          <w:lang w:val="en-US" w:eastAsia="zh-CN"/>
        </w:rPr>
        <w:t>对于绿电交易，</w:t>
      </w:r>
      <w:r>
        <w:rPr>
          <w:rFonts w:hAnsi="仿宋_GB2312" w:cs="仿宋_GB2312" w:hint="eastAsia"/>
          <w:color w:val="auto"/>
          <w:spacing w:val="6"/>
          <w:highlight w:val="none"/>
        </w:rPr>
        <w:t>原则上以发电项目作为交易单元参与绿色电力交易。对于暂无法拆分按发电项目作为交易单元的，以接入同一个上网节点、同一业主单位、执行相同标准补贴政策的电厂发电机组为一个交易单元参与电力市场。</w:t>
      </w:r>
    </w:p>
    <w:p>
      <w:pPr>
        <w:pStyle w:val="16"/>
        <w:keepNext w:val="0"/>
        <w:keepLines w:val="0"/>
        <w:pageBreakBefore w:val="0"/>
        <w:widowControl/>
        <w:kinsoku/>
        <w:wordWrap/>
        <w:overflowPunct/>
        <w:topLinePunct w:val="0"/>
        <w:autoSpaceDE/>
        <w:autoSpaceDN/>
        <w:bidi w:val="0"/>
        <w:adjustRightInd/>
        <w:snapToGrid/>
        <w:spacing w:line="560" w:lineRule="exact"/>
        <w:ind w:left="0" w:right="0" w:firstLine="640" w:firstLineChars="200"/>
        <w:jc w:val="both"/>
        <w:textAlignment w:val="auto"/>
        <w:outlineLvl w:val="9"/>
        <w:rPr>
          <w:rFonts w:hAnsi="仿宋_GB2312" w:cs="仿宋_GB2312" w:hint="eastAsia"/>
          <w:color w:val="auto"/>
          <w:spacing w:val="1"/>
          <w:w w:val="100"/>
          <w:highlight w:val="none"/>
          <w:lang w:eastAsia="zh-CN"/>
        </w:rPr>
      </w:pPr>
      <w:r>
        <w:rPr>
          <w:rFonts w:hAnsi="仿宋_GB2312" w:cs="仿宋_GB2312" w:hint="eastAsia"/>
          <w:color w:val="auto"/>
          <w:w w:val="100"/>
          <w:highlight w:val="none"/>
        </w:rPr>
        <w:t>3.</w:t>
      </w:r>
      <w:r>
        <w:rPr>
          <w:rFonts w:hAnsi="仿宋_GB2312" w:cs="仿宋_GB2312" w:hint="eastAsia"/>
          <w:color w:val="auto"/>
          <w:w w:val="100"/>
          <w:highlight w:val="none"/>
          <w:lang w:val="en-US" w:eastAsia="zh-CN"/>
        </w:rPr>
        <w:t>3</w:t>
      </w:r>
      <w:r>
        <w:rPr>
          <w:rFonts w:hAnsi="仿宋_GB2312" w:cs="仿宋_GB2312" w:hint="eastAsia"/>
          <w:color w:val="auto"/>
          <w:w w:val="100"/>
          <w:highlight w:val="none"/>
        </w:rPr>
        <w:t>.1.2售电公司和</w:t>
      </w:r>
      <w:r>
        <w:rPr>
          <w:rFonts w:hAnsi="仿宋_GB2312" w:cs="仿宋_GB2312" w:hint="eastAsia"/>
          <w:color w:val="auto"/>
          <w:w w:val="100"/>
          <w:highlight w:val="none"/>
          <w:lang w:val="en-US" w:eastAsia="zh-CN"/>
        </w:rPr>
        <w:t>电力</w:t>
      </w:r>
      <w:r>
        <w:rPr>
          <w:rFonts w:hAnsi="仿宋_GB2312" w:cs="仿宋_GB2312" w:hint="eastAsia"/>
          <w:color w:val="auto"/>
          <w:w w:val="100"/>
          <w:highlight w:val="none"/>
        </w:rPr>
        <w:t>批发用户</w:t>
      </w:r>
      <w:r>
        <w:rPr>
          <w:rFonts w:hAnsi="仿宋_GB2312" w:cs="仿宋_GB2312" w:hint="eastAsia"/>
          <w:color w:val="auto"/>
          <w:w w:val="100"/>
          <w:highlight w:val="none"/>
          <w:lang w:val="en-US" w:eastAsia="zh-CN"/>
        </w:rPr>
        <w:t>原则上</w:t>
      </w:r>
      <w:r>
        <w:rPr>
          <w:rFonts w:hAnsi="仿宋_GB2312" w:cs="仿宋_GB2312" w:hint="eastAsia"/>
          <w:color w:val="auto"/>
          <w:spacing w:val="1"/>
          <w:w w:val="100"/>
          <w:highlight w:val="none"/>
        </w:rPr>
        <w:t>以法人单位为交易单元参与</w:t>
      </w:r>
      <w:r>
        <w:rPr>
          <w:rFonts w:hAnsi="仿宋_GB2312" w:cs="仿宋_GB2312" w:hint="eastAsia"/>
          <w:color w:val="auto"/>
          <w:spacing w:val="1"/>
          <w:w w:val="100"/>
          <w:highlight w:val="none"/>
          <w:lang w:val="en-US" w:eastAsia="zh-CN"/>
        </w:rPr>
        <w:t>电力市场</w:t>
      </w:r>
      <w:r>
        <w:rPr>
          <w:rFonts w:hAnsi="仿宋_GB2312" w:cs="仿宋_GB2312" w:hint="eastAsia"/>
          <w:color w:val="auto"/>
          <w:spacing w:val="1"/>
          <w:w w:val="100"/>
          <w:highlight w:val="none"/>
          <w:lang w:eastAsia="zh-CN"/>
        </w:rPr>
        <w:t>。</w:t>
      </w:r>
    </w:p>
    <w:p>
      <w:pPr>
        <w:pStyle w:val="16"/>
        <w:keepNext w:val="0"/>
        <w:keepLines w:val="0"/>
        <w:pageBreakBefore w:val="0"/>
        <w:widowControl/>
        <w:kinsoku/>
        <w:wordWrap/>
        <w:overflowPunct/>
        <w:topLinePunct w:val="0"/>
        <w:autoSpaceDE/>
        <w:autoSpaceDN/>
        <w:bidi w:val="0"/>
        <w:adjustRightInd/>
        <w:snapToGrid/>
        <w:spacing w:line="560" w:lineRule="exact"/>
        <w:ind w:left="0" w:right="0" w:firstLine="640" w:firstLineChars="200"/>
        <w:jc w:val="both"/>
        <w:textAlignment w:val="auto"/>
        <w:outlineLvl w:val="9"/>
        <w:rPr>
          <w:rFonts w:ascii="仿宋_GB2312" w:eastAsia="仿宋_GB2312" w:hAnsi="仿宋_GB2312" w:cs="仿宋_GB2312" w:hint="eastAsia"/>
          <w:color w:val="auto"/>
          <w:spacing w:val="6"/>
          <w:highlight w:val="none"/>
          <w:lang w:eastAsia="zh-CN"/>
        </w:rPr>
      </w:pPr>
      <w:r>
        <w:rPr>
          <w:rFonts w:hAnsi="仿宋_GB2312" w:cs="仿宋_GB2312" w:hint="eastAsia"/>
          <w:color w:val="auto"/>
          <w:spacing w:val="6"/>
          <w:w w:val="100"/>
          <w:highlight w:val="none"/>
          <w:lang w:val="en-US" w:eastAsia="zh-CN"/>
        </w:rPr>
        <w:t>3.3.1.3</w:t>
      </w:r>
      <w:r>
        <w:rPr>
          <w:rFonts w:ascii="仿宋_GB2312" w:eastAsia="仿宋_GB2312" w:hAnsi="仿宋_GB2312" w:cs="仿宋_GB2312" w:hint="eastAsia"/>
          <w:color w:val="auto"/>
          <w:spacing w:val="6"/>
          <w:highlight w:val="none"/>
          <w:lang w:eastAsia="zh-CN"/>
        </w:rPr>
        <w:t>独立储能以充电和放电两个独立交易单元参与</w:t>
      </w:r>
      <w:r>
        <w:rPr>
          <w:rFonts w:hAnsi="仿宋_GB2312" w:cs="仿宋_GB2312" w:hint="eastAsia"/>
          <w:color w:val="auto"/>
          <w:spacing w:val="1"/>
          <w:w w:val="100"/>
          <w:highlight w:val="none"/>
          <w:lang w:val="en-US" w:eastAsia="zh-CN"/>
        </w:rPr>
        <w:t>电力市场</w:t>
      </w:r>
      <w:r>
        <w:rPr>
          <w:rFonts w:ascii="仿宋_GB2312" w:eastAsia="仿宋_GB2312" w:hAnsi="仿宋_GB2312" w:cs="仿宋_GB2312" w:hint="eastAsia"/>
          <w:color w:val="auto"/>
          <w:spacing w:val="6"/>
          <w:highlight w:val="none"/>
          <w:lang w:eastAsia="zh-CN"/>
        </w:rPr>
        <w:t>。</w:t>
      </w:r>
    </w:p>
    <w:p>
      <w:pPr>
        <w:pStyle w:val="16"/>
        <w:pageBreakBefore w:val="0"/>
        <w:widowControl/>
        <w:kinsoku/>
        <w:wordWrap/>
        <w:overflowPunct/>
        <w:topLinePunct w:val="0"/>
        <w:autoSpaceDE/>
        <w:autoSpaceDN/>
        <w:bidi w:val="0"/>
        <w:adjustRightInd/>
        <w:spacing w:line="560" w:lineRule="exact"/>
        <w:ind w:left="0" w:right="0" w:firstLine="640" w:firstLineChars="200"/>
        <w:jc w:val="both"/>
        <w:textAlignment w:val="auto"/>
        <w:outlineLvl w:val="9"/>
        <w:rPr>
          <w:rFonts w:ascii="仿宋_GB2312" w:eastAsia="仿宋_GB2312" w:hAnsi="仿宋_GB2312" w:cs="仿宋_GB2312"/>
          <w:color w:val="auto"/>
          <w:w w:val="100"/>
          <w:highlight w:val="none"/>
          <w:lang w:eastAsia="zh-CN"/>
        </w:rPr>
      </w:pPr>
      <w:r>
        <w:rPr>
          <w:rFonts w:ascii="仿宋_GB2312" w:eastAsia="仿宋_GB2312" w:hAnsi="仿宋_GB2312" w:cs="仿宋_GB2312" w:hint="eastAsia"/>
          <w:color w:val="auto"/>
          <w:w w:val="100"/>
          <w:highlight w:val="none"/>
          <w:lang w:eastAsia="zh-CN"/>
        </w:rPr>
        <w:t>3.</w:t>
      </w:r>
      <w:r>
        <w:rPr>
          <w:rFonts w:ascii="仿宋_GB2312" w:eastAsia="仿宋_GB2312" w:hAnsi="仿宋_GB2312" w:cs="仿宋_GB2312" w:hint="eastAsia"/>
          <w:color w:val="auto"/>
          <w:w w:val="100"/>
          <w:highlight w:val="none"/>
          <w:lang w:val="en-US" w:eastAsia="zh-CN"/>
        </w:rPr>
        <w:t>3</w:t>
      </w:r>
      <w:r>
        <w:rPr>
          <w:rFonts w:ascii="仿宋_GB2312" w:eastAsia="仿宋_GB2312" w:hAnsi="仿宋_GB2312" w:cs="仿宋_GB2312" w:hint="eastAsia"/>
          <w:color w:val="auto"/>
          <w:w w:val="100"/>
          <w:highlight w:val="none"/>
          <w:lang w:eastAsia="zh-CN"/>
        </w:rPr>
        <w:t>.2合同周期</w:t>
      </w:r>
    </w:p>
    <w:p>
      <w:pPr>
        <w:pStyle w:val="BodyText"/>
        <w:pageBreakBefore w:val="0"/>
        <w:tabs>
          <w:tab w:val="left" w:pos="1380"/>
        </w:tabs>
        <w:kinsoku/>
        <w:wordWrap/>
        <w:overflowPunct/>
        <w:topLinePunct w:val="0"/>
        <w:autoSpaceDE/>
        <w:autoSpaceDN/>
        <w:bidi w:val="0"/>
        <w:adjustRightInd/>
        <w:spacing w:line="560" w:lineRule="exact"/>
        <w:ind w:left="0" w:right="0" w:firstLine="640" w:firstLineChars="200"/>
        <w:jc w:val="both"/>
        <w:textAlignment w:val="auto"/>
        <w:rPr>
          <w:rFonts w:ascii="仿宋_GB2312" w:eastAsia="仿宋_GB2312" w:hAnsi="仿宋_GB2312" w:cs="仿宋_GB2312"/>
          <w:color w:val="auto"/>
          <w:w w:val="100"/>
          <w:highlight w:val="none"/>
          <w:lang w:eastAsia="zh-CN"/>
        </w:rPr>
      </w:pPr>
      <w:r>
        <w:rPr>
          <w:rFonts w:ascii="仿宋_GB2312" w:eastAsia="仿宋_GB2312" w:hAnsi="仿宋_GB2312" w:cs="仿宋_GB2312" w:hint="eastAsia"/>
          <w:color w:val="auto"/>
          <w:w w:val="100"/>
          <w:highlight w:val="none"/>
          <w:lang w:eastAsia="zh-CN"/>
        </w:rPr>
        <w:t>中</w:t>
      </w:r>
      <w:r>
        <w:rPr>
          <w:rFonts w:ascii="仿宋_GB2312" w:eastAsia="仿宋_GB2312" w:hAnsi="仿宋_GB2312" w:cs="仿宋_GB2312" w:hint="eastAsia"/>
          <w:color w:val="auto"/>
          <w:spacing w:val="1"/>
          <w:w w:val="100"/>
          <w:highlight w:val="none"/>
          <w:lang w:eastAsia="zh-CN"/>
        </w:rPr>
        <w:t>长</w:t>
      </w:r>
      <w:r>
        <w:rPr>
          <w:rFonts w:ascii="仿宋_GB2312" w:eastAsia="仿宋_GB2312" w:hAnsi="仿宋_GB2312" w:cs="仿宋_GB2312" w:hint="eastAsia"/>
          <w:color w:val="auto"/>
          <w:w w:val="100"/>
          <w:highlight w:val="none"/>
          <w:lang w:eastAsia="zh-CN"/>
        </w:rPr>
        <w:t>期合同的起</w:t>
      </w:r>
      <w:r>
        <w:rPr>
          <w:rFonts w:ascii="仿宋_GB2312" w:eastAsia="仿宋_GB2312" w:hAnsi="仿宋_GB2312" w:cs="仿宋_GB2312" w:hint="eastAsia"/>
          <w:color w:val="auto"/>
          <w:spacing w:val="1"/>
          <w:w w:val="100"/>
          <w:highlight w:val="none"/>
          <w:lang w:eastAsia="zh-CN"/>
        </w:rPr>
        <w:t>止</w:t>
      </w:r>
      <w:r>
        <w:rPr>
          <w:rFonts w:ascii="仿宋_GB2312" w:eastAsia="仿宋_GB2312" w:hAnsi="仿宋_GB2312" w:cs="仿宋_GB2312" w:hint="eastAsia"/>
          <w:color w:val="auto"/>
          <w:w w:val="100"/>
          <w:highlight w:val="none"/>
          <w:lang w:eastAsia="zh-CN"/>
        </w:rPr>
        <w:t>时间</w:t>
      </w:r>
      <w:r>
        <w:rPr>
          <w:rFonts w:ascii="仿宋_GB2312" w:eastAsia="仿宋_GB2312" w:hAnsi="仿宋_GB2312" w:cs="仿宋_GB2312" w:hint="eastAsia"/>
          <w:color w:val="auto"/>
          <w:spacing w:val="1"/>
          <w:w w:val="100"/>
          <w:highlight w:val="none"/>
          <w:lang w:eastAsia="zh-CN"/>
        </w:rPr>
        <w:t>，</w:t>
      </w:r>
      <w:r>
        <w:rPr>
          <w:rFonts w:ascii="仿宋_GB2312" w:eastAsia="仿宋_GB2312" w:hAnsi="仿宋_GB2312" w:cs="仿宋_GB2312" w:hint="eastAsia"/>
          <w:color w:val="auto"/>
          <w:w w:val="100"/>
          <w:highlight w:val="none"/>
          <w:lang w:eastAsia="zh-CN"/>
        </w:rPr>
        <w:t>以完</w:t>
      </w:r>
      <w:r>
        <w:rPr>
          <w:rFonts w:ascii="仿宋_GB2312" w:eastAsia="仿宋_GB2312" w:hAnsi="仿宋_GB2312" w:cs="仿宋_GB2312" w:hint="eastAsia"/>
          <w:color w:val="auto"/>
          <w:spacing w:val="1"/>
          <w:w w:val="100"/>
          <w:highlight w:val="none"/>
          <w:lang w:eastAsia="zh-CN"/>
        </w:rPr>
        <w:t>整</w:t>
      </w:r>
      <w:r>
        <w:rPr>
          <w:rFonts w:ascii="仿宋_GB2312" w:eastAsia="仿宋_GB2312" w:hAnsi="仿宋_GB2312" w:cs="仿宋_GB2312" w:hint="eastAsia"/>
          <w:color w:val="auto"/>
          <w:w w:val="100"/>
          <w:highlight w:val="none"/>
          <w:lang w:eastAsia="zh-CN"/>
        </w:rPr>
        <w:t>日历</w:t>
      </w:r>
      <w:r>
        <w:rPr>
          <w:rFonts w:ascii="仿宋_GB2312" w:eastAsia="仿宋_GB2312" w:hAnsi="仿宋_GB2312" w:cs="仿宋_GB2312" w:hint="eastAsia"/>
          <w:color w:val="auto"/>
          <w:spacing w:val="1"/>
          <w:w w:val="100"/>
          <w:highlight w:val="none"/>
          <w:lang w:eastAsia="zh-CN"/>
        </w:rPr>
        <w:t>日</w:t>
      </w:r>
      <w:r>
        <w:rPr>
          <w:rFonts w:ascii="仿宋_GB2312" w:eastAsia="仿宋_GB2312" w:hAnsi="仿宋_GB2312" w:cs="仿宋_GB2312" w:hint="eastAsia"/>
          <w:color w:val="auto"/>
          <w:w w:val="100"/>
          <w:highlight w:val="none"/>
          <w:lang w:eastAsia="zh-CN"/>
        </w:rPr>
        <w:t>为基</w:t>
      </w:r>
      <w:r>
        <w:rPr>
          <w:rFonts w:ascii="仿宋_GB2312" w:eastAsia="仿宋_GB2312" w:hAnsi="仿宋_GB2312" w:cs="仿宋_GB2312" w:hint="eastAsia"/>
          <w:color w:val="auto"/>
          <w:spacing w:val="1"/>
          <w:w w:val="100"/>
          <w:highlight w:val="none"/>
          <w:lang w:eastAsia="zh-CN"/>
        </w:rPr>
        <w:t>本</w:t>
      </w:r>
      <w:r>
        <w:rPr>
          <w:rFonts w:ascii="仿宋_GB2312" w:eastAsia="仿宋_GB2312" w:hAnsi="仿宋_GB2312" w:cs="仿宋_GB2312" w:hint="eastAsia"/>
          <w:color w:val="auto"/>
          <w:w w:val="100"/>
          <w:highlight w:val="none"/>
          <w:lang w:eastAsia="zh-CN"/>
        </w:rPr>
        <w:t>单位。</w:t>
      </w:r>
    </w:p>
    <w:p>
      <w:pPr>
        <w:pStyle w:val="BodyText"/>
        <w:pageBreakBefore w:val="0"/>
        <w:tabs>
          <w:tab w:val="left" w:pos="1380"/>
        </w:tabs>
        <w:kinsoku/>
        <w:wordWrap/>
        <w:overflowPunct/>
        <w:topLinePunct w:val="0"/>
        <w:autoSpaceDE/>
        <w:autoSpaceDN/>
        <w:bidi w:val="0"/>
        <w:adjustRightInd/>
        <w:spacing w:line="560" w:lineRule="exact"/>
        <w:ind w:left="0" w:right="0" w:firstLine="640" w:firstLineChars="200"/>
        <w:jc w:val="both"/>
        <w:textAlignment w:val="auto"/>
        <w:outlineLvl w:val="2"/>
        <w:rPr>
          <w:rFonts w:ascii="仿宋_GB2312" w:eastAsia="仿宋_GB2312" w:hAnsi="仿宋_GB2312" w:cs="仿宋_GB2312"/>
          <w:color w:val="auto"/>
          <w:w w:val="100"/>
          <w:highlight w:val="none"/>
          <w:lang w:eastAsia="zh-CN"/>
        </w:rPr>
      </w:pPr>
      <w:r>
        <w:rPr>
          <w:rFonts w:ascii="仿宋_GB2312" w:eastAsia="仿宋_GB2312" w:hAnsi="仿宋_GB2312" w:cs="仿宋_GB2312" w:hint="eastAsia"/>
          <w:color w:val="auto"/>
          <w:w w:val="100"/>
          <w:highlight w:val="none"/>
          <w:lang w:eastAsia="zh-CN"/>
        </w:rPr>
        <w:t>3.</w:t>
      </w:r>
      <w:r>
        <w:rPr>
          <w:rFonts w:ascii="仿宋_GB2312" w:eastAsia="仿宋_GB2312" w:hAnsi="仿宋_GB2312" w:cs="仿宋_GB2312" w:hint="eastAsia"/>
          <w:color w:val="auto"/>
          <w:w w:val="100"/>
          <w:highlight w:val="none"/>
          <w:lang w:val="en-US" w:eastAsia="zh-CN"/>
        </w:rPr>
        <w:t>3</w:t>
      </w:r>
      <w:r>
        <w:rPr>
          <w:rFonts w:ascii="仿宋_GB2312" w:eastAsia="仿宋_GB2312" w:hAnsi="仿宋_GB2312" w:cs="仿宋_GB2312" w:hint="eastAsia"/>
          <w:color w:val="auto"/>
          <w:w w:val="100"/>
          <w:highlight w:val="none"/>
          <w:lang w:eastAsia="zh-CN"/>
        </w:rPr>
        <w:t>.3合同电量</w:t>
      </w:r>
    </w:p>
    <w:p>
      <w:pPr>
        <w:pStyle w:val="BodyText"/>
        <w:pageBreakBefore w:val="0"/>
        <w:tabs>
          <w:tab w:val="left" w:pos="1380"/>
        </w:tabs>
        <w:kinsoku/>
        <w:wordWrap/>
        <w:overflowPunct/>
        <w:topLinePunct w:val="0"/>
        <w:autoSpaceDE/>
        <w:autoSpaceDN/>
        <w:bidi w:val="0"/>
        <w:adjustRightInd/>
        <w:spacing w:line="560" w:lineRule="exact"/>
        <w:ind w:left="0" w:right="0" w:firstLine="640" w:firstLineChars="200"/>
        <w:jc w:val="both"/>
        <w:textAlignment w:val="auto"/>
        <w:rPr>
          <w:rFonts w:ascii="仿宋_GB2312" w:eastAsia="仿宋_GB2312" w:hAnsi="仿宋_GB2312" w:cs="仿宋_GB2312"/>
          <w:color w:val="auto"/>
          <w:w w:val="100"/>
          <w:highlight w:val="none"/>
          <w:lang w:eastAsia="zh-CN"/>
        </w:rPr>
      </w:pPr>
      <w:r>
        <w:rPr>
          <w:rFonts w:ascii="仿宋_GB2312" w:eastAsia="仿宋_GB2312" w:hAnsi="仿宋_GB2312" w:cs="仿宋_GB2312" w:hint="eastAsia"/>
          <w:color w:val="auto"/>
          <w:w w:val="100"/>
          <w:highlight w:val="none"/>
          <w:lang w:eastAsia="zh-CN"/>
        </w:rPr>
        <w:t>中</w:t>
      </w:r>
      <w:r>
        <w:rPr>
          <w:rFonts w:ascii="仿宋_GB2312" w:eastAsia="仿宋_GB2312" w:hAnsi="仿宋_GB2312" w:cs="仿宋_GB2312" w:hint="eastAsia"/>
          <w:color w:val="auto"/>
          <w:spacing w:val="1"/>
          <w:w w:val="100"/>
          <w:highlight w:val="none"/>
          <w:lang w:eastAsia="zh-CN"/>
        </w:rPr>
        <w:t>长</w:t>
      </w:r>
      <w:r>
        <w:rPr>
          <w:rFonts w:ascii="仿宋_GB2312" w:eastAsia="仿宋_GB2312" w:hAnsi="仿宋_GB2312" w:cs="仿宋_GB2312" w:hint="eastAsia"/>
          <w:color w:val="auto"/>
          <w:w w:val="100"/>
          <w:highlight w:val="none"/>
          <w:lang w:eastAsia="zh-CN"/>
        </w:rPr>
        <w:t>期合同周期</w:t>
      </w:r>
      <w:r>
        <w:rPr>
          <w:rFonts w:ascii="仿宋_GB2312" w:eastAsia="仿宋_GB2312" w:hAnsi="仿宋_GB2312" w:cs="仿宋_GB2312" w:hint="eastAsia"/>
          <w:color w:val="auto"/>
          <w:spacing w:val="1"/>
          <w:w w:val="100"/>
          <w:highlight w:val="none"/>
          <w:lang w:eastAsia="zh-CN"/>
        </w:rPr>
        <w:t>内</w:t>
      </w:r>
      <w:r>
        <w:rPr>
          <w:rFonts w:ascii="仿宋_GB2312" w:eastAsia="仿宋_GB2312" w:hAnsi="仿宋_GB2312" w:cs="仿宋_GB2312" w:hint="eastAsia"/>
          <w:color w:val="auto"/>
          <w:w w:val="100"/>
          <w:highlight w:val="none"/>
          <w:lang w:eastAsia="zh-CN"/>
        </w:rPr>
        <w:t>交易</w:t>
      </w:r>
      <w:r>
        <w:rPr>
          <w:rFonts w:ascii="仿宋_GB2312" w:eastAsia="仿宋_GB2312" w:hAnsi="仿宋_GB2312" w:cs="仿宋_GB2312" w:hint="eastAsia"/>
          <w:color w:val="auto"/>
          <w:spacing w:val="1"/>
          <w:w w:val="100"/>
          <w:highlight w:val="none"/>
          <w:lang w:eastAsia="zh-CN"/>
        </w:rPr>
        <w:t>的</w:t>
      </w:r>
      <w:r>
        <w:rPr>
          <w:rFonts w:ascii="仿宋_GB2312" w:eastAsia="仿宋_GB2312" w:hAnsi="仿宋_GB2312" w:cs="仿宋_GB2312" w:hint="eastAsia"/>
          <w:color w:val="auto"/>
          <w:w w:val="100"/>
          <w:highlight w:val="none"/>
          <w:lang w:eastAsia="zh-CN"/>
        </w:rPr>
        <w:t>总电</w:t>
      </w:r>
      <w:r>
        <w:rPr>
          <w:rFonts w:ascii="仿宋_GB2312" w:eastAsia="仿宋_GB2312" w:hAnsi="仿宋_GB2312" w:cs="仿宋_GB2312" w:hint="eastAsia"/>
          <w:color w:val="auto"/>
          <w:spacing w:val="1"/>
          <w:w w:val="100"/>
          <w:highlight w:val="none"/>
          <w:lang w:eastAsia="zh-CN"/>
        </w:rPr>
        <w:t>量</w:t>
      </w:r>
      <w:r>
        <w:rPr>
          <w:rFonts w:ascii="仿宋_GB2312" w:eastAsia="仿宋_GB2312" w:hAnsi="仿宋_GB2312" w:cs="仿宋_GB2312" w:hint="eastAsia"/>
          <w:color w:val="auto"/>
          <w:w w:val="100"/>
          <w:highlight w:val="none"/>
          <w:lang w:eastAsia="zh-CN"/>
        </w:rPr>
        <w:t>。</w:t>
      </w:r>
    </w:p>
    <w:p>
      <w:pPr>
        <w:pStyle w:val="BodyText"/>
        <w:pageBreakBefore w:val="0"/>
        <w:tabs>
          <w:tab w:val="left" w:pos="1380"/>
        </w:tabs>
        <w:kinsoku/>
        <w:wordWrap/>
        <w:overflowPunct/>
        <w:topLinePunct w:val="0"/>
        <w:autoSpaceDE/>
        <w:autoSpaceDN/>
        <w:bidi w:val="0"/>
        <w:adjustRightInd/>
        <w:spacing w:line="560" w:lineRule="exact"/>
        <w:ind w:left="0" w:right="0" w:firstLine="640" w:firstLineChars="200"/>
        <w:jc w:val="both"/>
        <w:textAlignment w:val="auto"/>
        <w:outlineLvl w:val="2"/>
        <w:rPr>
          <w:rFonts w:ascii="仿宋_GB2312" w:eastAsia="仿宋_GB2312" w:hAnsi="仿宋_GB2312" w:cs="仿宋_GB2312"/>
          <w:color w:val="auto"/>
          <w:w w:val="100"/>
          <w:highlight w:val="none"/>
          <w:lang w:eastAsia="zh-CN"/>
        </w:rPr>
      </w:pPr>
      <w:r>
        <w:rPr>
          <w:rFonts w:ascii="仿宋_GB2312" w:eastAsia="仿宋_GB2312" w:hAnsi="仿宋_GB2312" w:cs="仿宋_GB2312" w:hint="eastAsia"/>
          <w:color w:val="auto"/>
          <w:w w:val="100"/>
          <w:highlight w:val="none"/>
          <w:lang w:eastAsia="zh-CN"/>
        </w:rPr>
        <w:t>3.</w:t>
      </w:r>
      <w:r>
        <w:rPr>
          <w:rFonts w:ascii="仿宋_GB2312" w:eastAsia="仿宋_GB2312" w:hAnsi="仿宋_GB2312" w:cs="仿宋_GB2312" w:hint="eastAsia"/>
          <w:color w:val="auto"/>
          <w:w w:val="100"/>
          <w:highlight w:val="none"/>
          <w:lang w:val="en-US" w:eastAsia="zh-CN"/>
        </w:rPr>
        <w:t>3</w:t>
      </w:r>
      <w:r>
        <w:rPr>
          <w:rFonts w:ascii="仿宋_GB2312" w:eastAsia="仿宋_GB2312" w:hAnsi="仿宋_GB2312" w:cs="仿宋_GB2312" w:hint="eastAsia"/>
          <w:color w:val="auto"/>
          <w:w w:val="100"/>
          <w:highlight w:val="none"/>
          <w:lang w:eastAsia="zh-CN"/>
        </w:rPr>
        <w:t>.4分</w:t>
      </w:r>
      <w:r>
        <w:rPr>
          <w:rFonts w:ascii="仿宋_GB2312" w:eastAsia="仿宋_GB2312" w:hAnsi="仿宋_GB2312" w:cs="仿宋_GB2312" w:hint="eastAsia"/>
          <w:color w:val="auto"/>
          <w:spacing w:val="2"/>
          <w:w w:val="100"/>
          <w:highlight w:val="none"/>
          <w:lang w:eastAsia="zh-CN"/>
        </w:rPr>
        <w:t>解</w:t>
      </w:r>
      <w:r>
        <w:rPr>
          <w:rFonts w:ascii="仿宋_GB2312" w:eastAsia="仿宋_GB2312" w:hAnsi="仿宋_GB2312" w:cs="仿宋_GB2312" w:hint="eastAsia"/>
          <w:color w:val="auto"/>
          <w:w w:val="100"/>
          <w:highlight w:val="none"/>
          <w:lang w:eastAsia="zh-CN"/>
        </w:rPr>
        <w:t>曲线</w:t>
      </w:r>
    </w:p>
    <w:p>
      <w:pPr>
        <w:pStyle w:val="BodyText"/>
        <w:pageBreakBefore w:val="0"/>
        <w:tabs>
          <w:tab w:val="left" w:pos="1380"/>
        </w:tabs>
        <w:kinsoku/>
        <w:wordWrap/>
        <w:overflowPunct/>
        <w:topLinePunct w:val="0"/>
        <w:autoSpaceDE/>
        <w:autoSpaceDN/>
        <w:bidi w:val="0"/>
        <w:adjustRightInd/>
        <w:spacing w:line="560" w:lineRule="exact"/>
        <w:ind w:left="0" w:right="0" w:firstLine="640" w:firstLineChars="200"/>
        <w:jc w:val="both"/>
        <w:textAlignment w:val="auto"/>
        <w:rPr>
          <w:rFonts w:ascii="仿宋_GB2312" w:eastAsia="仿宋_GB2312" w:hAnsi="仿宋_GB2312" w:cs="仿宋_GB2312"/>
          <w:color w:val="auto"/>
          <w:w w:val="100"/>
          <w:highlight w:val="none"/>
          <w:lang w:eastAsia="zh-CN"/>
        </w:rPr>
      </w:pPr>
      <w:r>
        <w:rPr>
          <w:rFonts w:ascii="仿宋_GB2312" w:eastAsia="仿宋_GB2312" w:hAnsi="仿宋_GB2312" w:cs="仿宋_GB2312" w:hint="eastAsia"/>
          <w:color w:val="auto"/>
          <w:w w:val="100"/>
          <w:highlight w:val="none"/>
          <w:lang w:eastAsia="zh-CN"/>
        </w:rPr>
        <w:t>合同电量</w:t>
      </w:r>
      <w:r>
        <w:rPr>
          <w:rFonts w:ascii="仿宋_GB2312" w:eastAsia="仿宋_GB2312" w:hAnsi="仿宋_GB2312" w:cs="仿宋_GB2312" w:hint="eastAsia"/>
          <w:color w:val="auto"/>
          <w:spacing w:val="1"/>
          <w:w w:val="100"/>
          <w:highlight w:val="none"/>
          <w:lang w:eastAsia="zh-CN"/>
        </w:rPr>
        <w:t>的</w:t>
      </w:r>
      <w:r>
        <w:rPr>
          <w:rFonts w:ascii="仿宋_GB2312" w:eastAsia="仿宋_GB2312" w:hAnsi="仿宋_GB2312" w:cs="仿宋_GB2312" w:hint="eastAsia"/>
          <w:color w:val="auto"/>
          <w:w w:val="100"/>
          <w:highlight w:val="none"/>
          <w:lang w:eastAsia="zh-CN"/>
        </w:rPr>
        <w:t>分解</w:t>
      </w:r>
      <w:r>
        <w:rPr>
          <w:rFonts w:ascii="仿宋_GB2312" w:eastAsia="仿宋_GB2312" w:hAnsi="仿宋_GB2312" w:cs="仿宋_GB2312" w:hint="eastAsia"/>
          <w:color w:val="auto"/>
          <w:spacing w:val="1"/>
          <w:w w:val="100"/>
          <w:highlight w:val="none"/>
          <w:lang w:eastAsia="zh-CN"/>
        </w:rPr>
        <w:t>曲</w:t>
      </w:r>
      <w:r>
        <w:rPr>
          <w:rFonts w:ascii="仿宋_GB2312" w:eastAsia="仿宋_GB2312" w:hAnsi="仿宋_GB2312" w:cs="仿宋_GB2312" w:hint="eastAsia"/>
          <w:color w:val="auto"/>
          <w:w w:val="100"/>
          <w:highlight w:val="none"/>
          <w:lang w:eastAsia="zh-CN"/>
        </w:rPr>
        <w:t>线或曲线分解机制</w:t>
      </w:r>
      <w:r>
        <w:rPr>
          <w:rFonts w:ascii="仿宋_GB2312" w:eastAsia="仿宋_GB2312" w:hAnsi="仿宋_GB2312" w:cs="仿宋_GB2312" w:hint="eastAsia"/>
          <w:color w:val="auto"/>
          <w:spacing w:val="-15"/>
          <w:w w:val="100"/>
          <w:highlight w:val="none"/>
          <w:lang w:eastAsia="zh-CN"/>
        </w:rPr>
        <w:t>，</w:t>
      </w:r>
      <w:r>
        <w:rPr>
          <w:rFonts w:ascii="仿宋_GB2312" w:eastAsia="仿宋_GB2312" w:hAnsi="仿宋_GB2312" w:cs="仿宋_GB2312" w:hint="eastAsia"/>
          <w:color w:val="auto"/>
          <w:w w:val="100"/>
          <w:highlight w:val="none"/>
          <w:lang w:eastAsia="zh-CN"/>
        </w:rPr>
        <w:t>用</w:t>
      </w:r>
      <w:r>
        <w:rPr>
          <w:rFonts w:ascii="仿宋_GB2312" w:eastAsia="仿宋_GB2312" w:hAnsi="仿宋_GB2312" w:cs="仿宋_GB2312" w:hint="eastAsia"/>
          <w:color w:val="auto"/>
          <w:spacing w:val="1"/>
          <w:w w:val="100"/>
          <w:highlight w:val="none"/>
          <w:lang w:eastAsia="zh-CN"/>
        </w:rPr>
        <w:t>于</w:t>
      </w:r>
      <w:r>
        <w:rPr>
          <w:rFonts w:ascii="仿宋_GB2312" w:eastAsia="仿宋_GB2312" w:hAnsi="仿宋_GB2312" w:cs="仿宋_GB2312" w:hint="eastAsia"/>
          <w:color w:val="auto"/>
          <w:w w:val="100"/>
          <w:highlight w:val="none"/>
          <w:lang w:eastAsia="zh-CN"/>
        </w:rPr>
        <w:t>合同</w:t>
      </w:r>
      <w:r>
        <w:rPr>
          <w:rFonts w:ascii="仿宋_GB2312" w:eastAsia="仿宋_GB2312" w:hAnsi="仿宋_GB2312" w:cs="仿宋_GB2312" w:hint="eastAsia"/>
          <w:color w:val="auto"/>
          <w:spacing w:val="1"/>
          <w:w w:val="100"/>
          <w:highlight w:val="none"/>
          <w:lang w:eastAsia="zh-CN"/>
        </w:rPr>
        <w:t>电</w:t>
      </w:r>
      <w:r>
        <w:rPr>
          <w:rFonts w:ascii="仿宋_GB2312" w:eastAsia="仿宋_GB2312" w:hAnsi="仿宋_GB2312" w:cs="仿宋_GB2312" w:hint="eastAsia"/>
          <w:color w:val="auto"/>
          <w:w w:val="100"/>
          <w:highlight w:val="none"/>
          <w:lang w:eastAsia="zh-CN"/>
        </w:rPr>
        <w:t>量在合同周期</w:t>
      </w:r>
      <w:r>
        <w:rPr>
          <w:rFonts w:ascii="仿宋_GB2312" w:eastAsia="仿宋_GB2312" w:hAnsi="仿宋_GB2312" w:cs="仿宋_GB2312" w:hint="eastAsia"/>
          <w:color w:val="auto"/>
          <w:spacing w:val="1"/>
          <w:w w:val="100"/>
          <w:highlight w:val="none"/>
          <w:lang w:eastAsia="zh-CN"/>
        </w:rPr>
        <w:t>内</w:t>
      </w:r>
      <w:r>
        <w:rPr>
          <w:rFonts w:ascii="仿宋_GB2312" w:eastAsia="仿宋_GB2312" w:hAnsi="仿宋_GB2312" w:cs="仿宋_GB2312" w:hint="eastAsia"/>
          <w:color w:val="auto"/>
          <w:w w:val="100"/>
          <w:highlight w:val="none"/>
          <w:lang w:eastAsia="zh-CN"/>
        </w:rPr>
        <w:t>的分解。</w:t>
      </w:r>
    </w:p>
    <w:p>
      <w:pPr>
        <w:pStyle w:val="16"/>
        <w:pageBreakBefore w:val="0"/>
        <w:kinsoku/>
        <w:wordWrap/>
        <w:overflowPunct/>
        <w:topLinePunct w:val="0"/>
        <w:autoSpaceDE/>
        <w:autoSpaceDN/>
        <w:bidi w:val="0"/>
        <w:adjustRightInd/>
        <w:spacing w:line="560" w:lineRule="exact"/>
        <w:ind w:left="0" w:right="0" w:firstLine="640" w:firstLineChars="200"/>
        <w:jc w:val="both"/>
        <w:textAlignment w:val="auto"/>
        <w:outlineLvl w:val="2"/>
        <w:rPr>
          <w:rFonts w:hAnsi="仿宋_GB2312" w:cs="仿宋_GB2312"/>
          <w:color w:val="auto"/>
          <w:w w:val="100"/>
          <w:highlight w:val="none"/>
        </w:rPr>
      </w:pPr>
      <w:r>
        <w:rPr>
          <w:rFonts w:hAnsi="仿宋_GB2312" w:cs="仿宋_GB2312" w:hint="eastAsia"/>
          <w:color w:val="auto"/>
          <w:w w:val="100"/>
          <w:highlight w:val="none"/>
        </w:rPr>
        <w:t>3.</w:t>
      </w:r>
      <w:r>
        <w:rPr>
          <w:rFonts w:hAnsi="仿宋_GB2312" w:cs="仿宋_GB2312" w:hint="eastAsia"/>
          <w:color w:val="auto"/>
          <w:w w:val="100"/>
          <w:highlight w:val="none"/>
          <w:lang w:val="en-US" w:eastAsia="zh-CN"/>
        </w:rPr>
        <w:t>3</w:t>
      </w:r>
      <w:r>
        <w:rPr>
          <w:rFonts w:hAnsi="仿宋_GB2312" w:cs="仿宋_GB2312" w:hint="eastAsia"/>
          <w:color w:val="auto"/>
          <w:w w:val="100"/>
          <w:highlight w:val="none"/>
        </w:rPr>
        <w:t>.5交易价格</w:t>
      </w:r>
    </w:p>
    <w:bookmarkEnd w:id="13"/>
    <w:p>
      <w:pPr>
        <w:pStyle w:val="BodyText"/>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ascii="仿宋_GB2312" w:eastAsia="仿宋_GB2312" w:hAnsi="仿宋_GB2312" w:cs="仿宋_GB2312" w:hint="eastAsia"/>
          <w:color w:val="auto"/>
          <w:w w:val="100"/>
          <w:highlight w:val="none"/>
          <w:lang w:eastAsia="zh-CN"/>
        </w:rPr>
      </w:pPr>
      <w:r>
        <w:rPr>
          <w:rFonts w:ascii="仿宋_GB2312" w:eastAsia="仿宋_GB2312" w:hAnsi="仿宋_GB2312" w:cs="仿宋_GB2312" w:hint="eastAsia"/>
          <w:color w:val="auto"/>
          <w:w w:val="100"/>
          <w:highlight w:val="none"/>
          <w:lang w:eastAsia="zh-CN"/>
        </w:rPr>
        <w:t>合同的成交价格，采用绝对电能</w:t>
      </w:r>
      <w:r>
        <w:rPr>
          <w:rFonts w:ascii="仿宋_GB2312" w:eastAsia="仿宋_GB2312" w:hAnsi="仿宋_GB2312" w:cs="仿宋_GB2312" w:hint="eastAsia"/>
          <w:color w:val="auto"/>
          <w:w w:val="100"/>
          <w:highlight w:val="none"/>
          <w:lang w:val="en-US" w:eastAsia="zh-CN"/>
        </w:rPr>
        <w:t>量</w:t>
      </w:r>
      <w:r>
        <w:rPr>
          <w:rFonts w:ascii="仿宋_GB2312" w:eastAsia="仿宋_GB2312" w:hAnsi="仿宋_GB2312" w:cs="仿宋_GB2312" w:hint="eastAsia"/>
          <w:color w:val="auto"/>
          <w:w w:val="100"/>
          <w:highlight w:val="none"/>
          <w:lang w:eastAsia="zh-CN"/>
        </w:rPr>
        <w:t>价格，</w:t>
      </w:r>
      <w:r>
        <w:rPr>
          <w:rFonts w:ascii="仿宋_GB2312" w:eastAsia="仿宋_GB2312" w:hAnsi="仿宋_GB2312" w:cs="仿宋_GB2312" w:hint="eastAsia"/>
          <w:color w:val="auto"/>
          <w:highlight w:val="none"/>
          <w:lang w:eastAsia="zh-CN"/>
        </w:rPr>
        <w:t>绿电交易中</w:t>
      </w:r>
      <w:r>
        <w:rPr>
          <w:rFonts w:ascii="仿宋_GB2312" w:eastAsia="仿宋_GB2312" w:hAnsi="仿宋_GB2312" w:cs="仿宋_GB2312" w:hint="eastAsia"/>
          <w:color w:val="auto"/>
          <w:highlight w:val="none"/>
          <w:lang w:val="en-US" w:eastAsia="zh-CN"/>
        </w:rPr>
        <w:t>的</w:t>
      </w:r>
      <w:r>
        <w:rPr>
          <w:rFonts w:ascii="仿宋_GB2312" w:eastAsia="仿宋_GB2312" w:hAnsi="仿宋_GB2312" w:cs="仿宋_GB2312" w:hint="eastAsia"/>
          <w:color w:val="auto"/>
          <w:highlight w:val="none"/>
          <w:lang w:eastAsia="zh-CN"/>
        </w:rPr>
        <w:t>电能量</w:t>
      </w:r>
      <w:r>
        <w:rPr>
          <w:rFonts w:ascii="仿宋_GB2312" w:eastAsia="仿宋_GB2312" w:hAnsi="仿宋_GB2312" w:cs="仿宋_GB2312" w:hint="eastAsia"/>
          <w:color w:val="auto"/>
          <w:highlight w:val="none"/>
          <w:lang w:val="en-US" w:eastAsia="zh-CN"/>
        </w:rPr>
        <w:t>交易</w:t>
      </w:r>
      <w:r>
        <w:rPr>
          <w:rFonts w:ascii="仿宋_GB2312" w:eastAsia="仿宋_GB2312" w:hAnsi="仿宋_GB2312" w:cs="仿宋_GB2312" w:hint="eastAsia"/>
          <w:color w:val="auto"/>
          <w:highlight w:val="none"/>
          <w:lang w:eastAsia="zh-CN"/>
        </w:rPr>
        <w:t>价格与绿证价格应分别明确</w:t>
      </w:r>
      <w:r>
        <w:rPr>
          <w:rFonts w:ascii="仿宋_GB2312" w:eastAsia="仿宋_GB2312" w:hAnsi="仿宋_GB2312" w:cs="仿宋_GB2312" w:hint="eastAsia"/>
          <w:color w:val="auto"/>
          <w:w w:val="100"/>
          <w:highlight w:val="none"/>
          <w:lang w:eastAsia="zh-CN"/>
        </w:rPr>
        <w:t>。</w:t>
      </w:r>
      <w:r>
        <w:rPr>
          <w:rFonts w:ascii="仿宋_GB2312" w:eastAsia="仿宋_GB2312" w:hAnsi="仿宋_GB2312" w:cs="仿宋_GB2312" w:hint="eastAsia"/>
          <w:color w:val="auto"/>
          <w:w w:val="100"/>
          <w:highlight w:val="none"/>
          <w:lang w:val="en-US" w:eastAsia="zh-CN"/>
        </w:rPr>
        <w:t>各市场成员</w:t>
      </w:r>
      <w:r>
        <w:rPr>
          <w:rFonts w:ascii="仿宋_GB2312" w:eastAsia="仿宋_GB2312" w:hAnsi="仿宋_GB2312" w:cs="仿宋_GB2312" w:hint="eastAsia"/>
          <w:color w:val="auto"/>
          <w:w w:val="100"/>
          <w:highlight w:val="none"/>
          <w:lang w:eastAsia="zh-CN"/>
        </w:rPr>
        <w:t>也可签订固定的价格机制，鼓励签订与一次能源挂钩的浮动定价合同；采用价格机制的，需在结算开展前转化为绝对价格。条件成熟后，每份合同可根据交易时段对每月（日）合约电量约定24小时分时价格。</w:t>
      </w:r>
    </w:p>
    <w:p>
      <w:pPr>
        <w:pStyle w:val="BodyText"/>
        <w:pageBreakBefore w:val="0"/>
        <w:kinsoku/>
        <w:wordWrap/>
        <w:overflowPunct/>
        <w:topLinePunct w:val="0"/>
        <w:autoSpaceDE/>
        <w:autoSpaceDN/>
        <w:bidi w:val="0"/>
        <w:adjustRightInd/>
        <w:spacing w:line="560" w:lineRule="exact"/>
        <w:ind w:left="0" w:right="0" w:firstLine="640" w:firstLineChars="200"/>
        <w:jc w:val="both"/>
        <w:textAlignment w:val="auto"/>
        <w:outlineLvl w:val="2"/>
        <w:rPr>
          <w:rFonts w:ascii="仿宋_GB2312" w:eastAsia="仿宋_GB2312" w:hAnsi="仿宋_GB2312" w:cs="仿宋_GB2312" w:hint="eastAsia"/>
          <w:color w:val="auto"/>
          <w:w w:val="100"/>
          <w:highlight w:val="none"/>
          <w:lang w:eastAsia="zh-CN"/>
        </w:rPr>
      </w:pPr>
      <w:r>
        <w:rPr>
          <w:rFonts w:ascii="仿宋_GB2312" w:eastAsia="仿宋_GB2312" w:hAnsi="仿宋_GB2312" w:cs="仿宋_GB2312" w:hint="eastAsia"/>
          <w:color w:val="auto"/>
          <w:spacing w:val="1"/>
          <w:w w:val="100"/>
          <w:highlight w:val="none"/>
          <w:lang w:eastAsia="zh-CN"/>
        </w:rPr>
        <w:t>3.</w:t>
      </w:r>
      <w:r>
        <w:rPr>
          <w:rFonts w:ascii="仿宋_GB2312" w:eastAsia="仿宋_GB2312" w:hAnsi="仿宋_GB2312" w:cs="仿宋_GB2312" w:hint="eastAsia"/>
          <w:color w:val="auto"/>
          <w:spacing w:val="1"/>
          <w:w w:val="100"/>
          <w:highlight w:val="none"/>
          <w:lang w:val="en-US" w:eastAsia="zh-CN"/>
        </w:rPr>
        <w:t>3</w:t>
      </w:r>
      <w:r>
        <w:rPr>
          <w:rFonts w:ascii="仿宋_GB2312" w:eastAsia="仿宋_GB2312" w:hAnsi="仿宋_GB2312" w:cs="仿宋_GB2312" w:hint="eastAsia"/>
          <w:color w:val="auto"/>
          <w:spacing w:val="1"/>
          <w:w w:val="100"/>
          <w:highlight w:val="none"/>
          <w:lang w:eastAsia="zh-CN"/>
        </w:rPr>
        <w:t>.6结算参考点</w:t>
      </w:r>
    </w:p>
    <w:p>
      <w:pPr>
        <w:pStyle w:val="BodyText"/>
        <w:pageBreakBefore w:val="0"/>
        <w:kinsoku/>
        <w:wordWrap/>
        <w:overflowPunct/>
        <w:topLinePunct w:val="0"/>
        <w:autoSpaceDE/>
        <w:autoSpaceDN/>
        <w:bidi w:val="0"/>
        <w:adjustRightInd/>
        <w:spacing w:line="560" w:lineRule="exact"/>
        <w:ind w:left="0" w:right="0" w:firstLine="640" w:firstLineChars="200"/>
        <w:jc w:val="both"/>
        <w:textAlignment w:val="auto"/>
        <w:rPr>
          <w:rFonts w:ascii="仿宋_GB2312" w:eastAsia="仿宋_GB2312" w:hAnsi="仿宋_GB2312" w:cs="仿宋_GB2312" w:hint="eastAsia"/>
          <w:color w:val="auto"/>
          <w:w w:val="100"/>
          <w:highlight w:val="none"/>
          <w:lang w:val="en-US" w:eastAsia="zh-CN"/>
        </w:rPr>
      </w:pPr>
      <w:r>
        <w:rPr>
          <w:rFonts w:ascii="仿宋_GB2312" w:eastAsia="仿宋_GB2312" w:hAnsi="仿宋_GB2312" w:cs="仿宋_GB2312" w:hint="eastAsia"/>
          <w:color w:val="auto"/>
          <w:w w:val="100"/>
          <w:highlight w:val="none"/>
          <w:lang w:val="en-US" w:eastAsia="zh-CN"/>
        </w:rPr>
        <w:t>3.3.6.1</w:t>
      </w:r>
      <w:r>
        <w:rPr>
          <w:rFonts w:ascii="仿宋_GB2312" w:eastAsia="仿宋_GB2312" w:hAnsi="仿宋_GB2312" w:cs="仿宋_GB2312" w:hint="eastAsia"/>
          <w:color w:val="auto"/>
          <w:w w:val="100"/>
          <w:highlight w:val="none"/>
          <w:lang w:eastAsia="zh-CN"/>
        </w:rPr>
        <w:t>省内中</w:t>
      </w:r>
      <w:r>
        <w:rPr>
          <w:rFonts w:ascii="仿宋_GB2312" w:eastAsia="仿宋_GB2312" w:hAnsi="仿宋_GB2312" w:cs="仿宋_GB2312" w:hint="eastAsia"/>
          <w:color w:val="auto"/>
          <w:spacing w:val="0"/>
          <w:w w:val="100"/>
          <w:highlight w:val="none"/>
          <w:lang w:eastAsia="zh-CN"/>
        </w:rPr>
        <w:t>长</w:t>
      </w:r>
      <w:r>
        <w:rPr>
          <w:rFonts w:ascii="仿宋_GB2312" w:eastAsia="仿宋_GB2312" w:hAnsi="仿宋_GB2312" w:cs="仿宋_GB2312" w:hint="eastAsia"/>
          <w:color w:val="auto"/>
          <w:w w:val="100"/>
          <w:highlight w:val="none"/>
          <w:lang w:eastAsia="zh-CN"/>
        </w:rPr>
        <w:t>期</w:t>
      </w:r>
      <w:r>
        <w:rPr>
          <w:rFonts w:ascii="仿宋_GB2312" w:eastAsia="仿宋_GB2312" w:hAnsi="仿宋_GB2312" w:cs="仿宋_GB2312" w:hint="eastAsia"/>
          <w:color w:val="auto"/>
          <w:w w:val="100"/>
          <w:highlight w:val="none"/>
          <w:lang w:val="en-US" w:eastAsia="zh-CN"/>
        </w:rPr>
        <w:t>电能量</w:t>
      </w:r>
      <w:r>
        <w:rPr>
          <w:rFonts w:ascii="仿宋_GB2312" w:eastAsia="仿宋_GB2312" w:hAnsi="仿宋_GB2312" w:cs="仿宋_GB2312" w:hint="eastAsia"/>
          <w:color w:val="auto"/>
          <w:w w:val="100"/>
          <w:highlight w:val="none"/>
          <w:lang w:eastAsia="zh-CN"/>
        </w:rPr>
        <w:t>交</w:t>
      </w:r>
      <w:r>
        <w:rPr>
          <w:rFonts w:ascii="仿宋_GB2312" w:eastAsia="仿宋_GB2312" w:hAnsi="仿宋_GB2312" w:cs="仿宋_GB2312" w:hint="eastAsia"/>
          <w:color w:val="auto"/>
          <w:spacing w:val="0"/>
          <w:w w:val="100"/>
          <w:highlight w:val="none"/>
          <w:lang w:eastAsia="zh-CN"/>
        </w:rPr>
        <w:t>易</w:t>
      </w:r>
      <w:r>
        <w:rPr>
          <w:rFonts w:ascii="仿宋_GB2312" w:eastAsia="仿宋_GB2312" w:hAnsi="仿宋_GB2312" w:cs="仿宋_GB2312" w:hint="eastAsia"/>
          <w:color w:val="auto"/>
          <w:spacing w:val="0"/>
          <w:w w:val="100"/>
          <w:highlight w:val="none"/>
          <w:lang w:val="en-US" w:eastAsia="zh-CN"/>
        </w:rPr>
        <w:t>结算参考点价格可采用日前市场出清加权平均价或发电交易单元日前出清价格</w:t>
      </w:r>
      <w:r>
        <w:rPr>
          <w:rStyle w:val="FootnoteReference"/>
          <w:rFonts w:ascii="仿宋_GB2312" w:eastAsia="仿宋_GB2312" w:hAnsi="仿宋_GB2312" w:cs="仿宋_GB2312" w:hint="eastAsia"/>
          <w:color w:val="auto"/>
          <w:spacing w:val="0"/>
          <w:w w:val="100"/>
          <w:highlight w:val="none"/>
          <w:lang w:val="en-US" w:eastAsia="zh-CN"/>
        </w:rPr>
        <w:footnoteReference w:id="2"/>
      </w:r>
      <w:r>
        <w:rPr>
          <w:rFonts w:ascii="仿宋_GB2312" w:eastAsia="仿宋_GB2312" w:hAnsi="仿宋_GB2312" w:cs="仿宋_GB2312" w:hint="eastAsia"/>
          <w:color w:val="auto"/>
          <w:w w:val="100"/>
          <w:highlight w:val="none"/>
          <w:lang w:val="en-US" w:eastAsia="zh-CN"/>
        </w:rPr>
        <w:t>。其中，</w:t>
      </w:r>
      <w:r>
        <w:rPr>
          <w:rFonts w:ascii="仿宋_GB2312" w:eastAsia="仿宋_GB2312" w:hAnsi="仿宋_GB2312" w:cs="仿宋_GB2312" w:hint="eastAsia"/>
          <w:color w:val="auto"/>
          <w:highlight w:val="none"/>
          <w:lang w:eastAsia="zh-CN"/>
        </w:rPr>
        <w:t>采用双边协商</w:t>
      </w:r>
      <w:r>
        <w:rPr>
          <w:rFonts w:ascii="仿宋_GB2312" w:eastAsia="仿宋_GB2312" w:hAnsi="仿宋_GB2312" w:cs="仿宋_GB2312" w:hint="eastAsia"/>
          <w:color w:val="auto"/>
          <w:highlight w:val="none"/>
          <w:lang w:val="en-US" w:eastAsia="zh-CN"/>
        </w:rPr>
        <w:t>交易</w:t>
      </w:r>
      <w:r>
        <w:rPr>
          <w:rFonts w:ascii="仿宋_GB2312" w:eastAsia="仿宋_GB2312" w:hAnsi="仿宋_GB2312" w:cs="仿宋_GB2312" w:hint="eastAsia"/>
          <w:color w:val="auto"/>
          <w:highlight w:val="none"/>
          <w:lang w:eastAsia="zh-CN"/>
        </w:rPr>
        <w:t>方式的</w:t>
      </w:r>
      <w:r>
        <w:rPr>
          <w:rFonts w:ascii="仿宋_GB2312" w:eastAsia="仿宋_GB2312" w:hAnsi="仿宋_GB2312" w:cs="仿宋_GB2312" w:hint="eastAsia"/>
          <w:color w:val="auto"/>
          <w:highlight w:val="none"/>
          <w:lang w:val="en-US" w:eastAsia="zh-CN"/>
        </w:rPr>
        <w:t>交易场次，</w:t>
      </w:r>
      <w:r>
        <w:rPr>
          <w:rFonts w:ascii="仿宋_GB2312" w:eastAsia="仿宋_GB2312" w:hAnsi="仿宋_GB2312" w:cs="仿宋_GB2312" w:hint="eastAsia"/>
          <w:color w:val="auto"/>
          <w:highlight w:val="none"/>
          <w:lang w:eastAsia="zh-CN"/>
        </w:rPr>
        <w:t>经营主体可自主协商</w:t>
      </w:r>
      <w:r>
        <w:rPr>
          <w:rFonts w:ascii="仿宋_GB2312" w:eastAsia="仿宋_GB2312" w:hAnsi="仿宋_GB2312" w:cs="仿宋_GB2312" w:hint="eastAsia"/>
          <w:color w:val="auto"/>
          <w:highlight w:val="none"/>
          <w:lang w:val="en-US" w:eastAsia="zh-CN"/>
        </w:rPr>
        <w:t>选用</w:t>
      </w:r>
      <w:r>
        <w:rPr>
          <w:rFonts w:ascii="仿宋_GB2312" w:eastAsia="仿宋_GB2312" w:hAnsi="仿宋_GB2312" w:cs="仿宋_GB2312" w:hint="eastAsia"/>
          <w:color w:val="auto"/>
          <w:spacing w:val="0"/>
          <w:w w:val="100"/>
          <w:highlight w:val="none"/>
          <w:lang w:val="en-US" w:eastAsia="zh-CN"/>
        </w:rPr>
        <w:t>日前市场出清加权平均价或发电交易单元日前出清价格作为结算参考点价格</w:t>
      </w:r>
      <w:r>
        <w:rPr>
          <w:rFonts w:ascii="仿宋_GB2312" w:eastAsia="仿宋_GB2312" w:hAnsi="仿宋_GB2312" w:cs="仿宋_GB2312" w:hint="eastAsia"/>
          <w:color w:val="auto"/>
          <w:highlight w:val="none"/>
          <w:lang w:eastAsia="zh-CN"/>
        </w:rPr>
        <w:t>；采用挂牌交易方式的</w:t>
      </w:r>
      <w:r>
        <w:rPr>
          <w:rFonts w:ascii="仿宋_GB2312" w:eastAsia="仿宋_GB2312" w:hAnsi="仿宋_GB2312" w:cs="仿宋_GB2312" w:hint="eastAsia"/>
          <w:color w:val="auto"/>
          <w:highlight w:val="none"/>
          <w:lang w:val="en-US" w:eastAsia="zh-CN"/>
        </w:rPr>
        <w:t>交易场次，由挂牌方选用</w:t>
      </w:r>
      <w:r>
        <w:rPr>
          <w:rFonts w:ascii="仿宋_GB2312" w:eastAsia="仿宋_GB2312" w:hAnsi="仿宋_GB2312" w:cs="仿宋_GB2312" w:hint="eastAsia"/>
          <w:color w:val="auto"/>
          <w:spacing w:val="0"/>
          <w:w w:val="100"/>
          <w:highlight w:val="none"/>
          <w:lang w:val="en-US" w:eastAsia="zh-CN"/>
        </w:rPr>
        <w:t>日前市场出清加权平均价或发电交易单元日前出清价格作为结算参考点价格；</w:t>
      </w:r>
      <w:r>
        <w:rPr>
          <w:rFonts w:ascii="仿宋_GB2312" w:eastAsia="仿宋_GB2312" w:hAnsi="仿宋_GB2312" w:cs="仿宋_GB2312" w:hint="eastAsia"/>
          <w:color w:val="auto"/>
          <w:highlight w:val="none"/>
          <w:lang w:eastAsia="zh-CN"/>
        </w:rPr>
        <w:t>采用集中竞价、滚动撮合交易方式的</w:t>
      </w:r>
      <w:r>
        <w:rPr>
          <w:rFonts w:ascii="仿宋_GB2312" w:eastAsia="仿宋_GB2312" w:hAnsi="仿宋_GB2312" w:cs="仿宋_GB2312" w:hint="eastAsia"/>
          <w:color w:val="auto"/>
          <w:highlight w:val="none"/>
          <w:lang w:val="en-US" w:eastAsia="zh-CN"/>
        </w:rPr>
        <w:t>交易场次，</w:t>
      </w:r>
      <w:r>
        <w:rPr>
          <w:rFonts w:ascii="仿宋_GB2312" w:eastAsia="仿宋_GB2312" w:hAnsi="仿宋_GB2312" w:cs="仿宋_GB2312" w:hint="eastAsia"/>
          <w:color w:val="auto"/>
          <w:highlight w:val="none"/>
          <w:lang w:eastAsia="zh-CN"/>
        </w:rPr>
        <w:t>经营主体默认采用</w:t>
      </w:r>
      <w:r>
        <w:rPr>
          <w:rFonts w:ascii="仿宋_GB2312" w:eastAsia="仿宋_GB2312" w:hAnsi="仿宋_GB2312" w:cs="仿宋_GB2312" w:hint="eastAsia"/>
          <w:color w:val="auto"/>
          <w:spacing w:val="0"/>
          <w:w w:val="100"/>
          <w:highlight w:val="none"/>
          <w:lang w:val="en-US" w:eastAsia="zh-CN"/>
        </w:rPr>
        <w:t>日前市场出清加权平均价作为结算参考点价格</w:t>
      </w:r>
      <w:r>
        <w:rPr>
          <w:rFonts w:ascii="仿宋_GB2312" w:eastAsia="仿宋_GB2312" w:hAnsi="仿宋_GB2312" w:cs="仿宋_GB2312" w:hint="eastAsia"/>
          <w:color w:val="auto"/>
          <w:highlight w:val="none"/>
          <w:lang w:eastAsia="zh-CN"/>
        </w:rPr>
        <w:t>。</w:t>
      </w:r>
    </w:p>
    <w:p>
      <w:pPr>
        <w:pStyle w:val="BodyText"/>
        <w:pageBreakBefore w:val="0"/>
        <w:kinsoku/>
        <w:wordWrap/>
        <w:overflowPunct/>
        <w:topLinePunct w:val="0"/>
        <w:autoSpaceDE/>
        <w:autoSpaceDN/>
        <w:bidi w:val="0"/>
        <w:adjustRightInd/>
        <w:spacing w:line="560" w:lineRule="exact"/>
        <w:ind w:left="0" w:right="0" w:firstLine="640" w:firstLineChars="200"/>
        <w:jc w:val="both"/>
        <w:textAlignment w:val="auto"/>
        <w:rPr>
          <w:rFonts w:ascii="仿宋_GB2312" w:eastAsia="仿宋_GB2312" w:hAnsi="仿宋_GB2312" w:cs="仿宋_GB2312" w:hint="eastAsia"/>
          <w:b w:val="0"/>
          <w:bCs w:val="0"/>
          <w:color w:val="auto"/>
          <w:spacing w:val="0"/>
          <w:w w:val="100"/>
          <w:highlight w:val="none"/>
          <w:lang w:eastAsia="zh-CN"/>
        </w:rPr>
      </w:pPr>
      <w:r>
        <w:rPr>
          <w:rFonts w:ascii="仿宋_GB2312" w:eastAsia="仿宋_GB2312" w:hAnsi="仿宋_GB2312" w:cs="仿宋_GB2312" w:hint="eastAsia"/>
          <w:color w:val="auto"/>
          <w:w w:val="100"/>
          <w:highlight w:val="none"/>
          <w:lang w:val="en-US" w:eastAsia="zh-CN"/>
        </w:rPr>
        <w:t>3.3.6.2</w:t>
      </w:r>
      <w:r>
        <w:rPr>
          <w:rFonts w:ascii="仿宋_GB2312" w:eastAsia="仿宋_GB2312" w:hAnsi="仿宋_GB2312" w:cs="仿宋_GB2312" w:hint="eastAsia"/>
          <w:color w:val="auto"/>
          <w:w w:val="100"/>
          <w:highlight w:val="none"/>
          <w:lang w:eastAsia="zh-CN"/>
        </w:rPr>
        <w:t>跨省中长期市场化交易根据《南方区域电力市场运行规则》</w:t>
      </w:r>
      <w:r>
        <w:rPr>
          <w:rFonts w:ascii="仿宋_GB2312" w:eastAsia="仿宋_GB2312" w:hAnsi="仿宋_GB2312" w:cs="仿宋_GB2312" w:hint="eastAsia"/>
          <w:color w:val="auto"/>
          <w:w w:val="100"/>
          <w:highlight w:val="none"/>
          <w:lang w:val="en-US" w:eastAsia="zh-CN"/>
        </w:rPr>
        <w:t>和《</w:t>
      </w:r>
      <w:r>
        <w:rPr>
          <w:rFonts w:ascii="仿宋_GB2312" w:eastAsia="仿宋_GB2312" w:hAnsi="仿宋_GB2312" w:cs="仿宋_GB2312" w:hint="eastAsia"/>
          <w:color w:val="auto"/>
          <w:w w:val="100"/>
          <w:highlight w:val="none"/>
          <w:lang w:eastAsia="zh-CN"/>
        </w:rPr>
        <w:t>南方区域电力市场中长期电能量交易实施细则</w:t>
      </w:r>
      <w:r>
        <w:rPr>
          <w:rFonts w:ascii="仿宋_GB2312" w:eastAsia="仿宋_GB2312" w:hAnsi="仿宋_GB2312" w:cs="仿宋_GB2312" w:hint="eastAsia"/>
          <w:color w:val="auto"/>
          <w:w w:val="100"/>
          <w:highlight w:val="none"/>
          <w:lang w:val="en-US" w:eastAsia="zh-CN"/>
        </w:rPr>
        <w:t>》要求确定相应的结算参考点</w:t>
      </w:r>
      <w:r>
        <w:rPr>
          <w:rFonts w:ascii="仿宋_GB2312" w:eastAsia="仿宋_GB2312" w:hAnsi="仿宋_GB2312" w:cs="仿宋_GB2312" w:hint="eastAsia"/>
          <w:color w:val="auto"/>
          <w:spacing w:val="0"/>
          <w:w w:val="100"/>
          <w:highlight w:val="none"/>
          <w:lang w:eastAsia="zh-CN"/>
        </w:rPr>
        <w:t>。</w:t>
      </w:r>
    </w:p>
    <w:p>
      <w:pPr>
        <w:pStyle w:val="BodyText"/>
        <w:pageBreakBefore w:val="0"/>
        <w:kinsoku/>
        <w:wordWrap/>
        <w:overflowPunct/>
        <w:topLinePunct w:val="0"/>
        <w:autoSpaceDE/>
        <w:autoSpaceDN/>
        <w:bidi w:val="0"/>
        <w:adjustRightInd/>
        <w:spacing w:line="560" w:lineRule="exact"/>
        <w:ind w:left="0" w:right="0" w:firstLine="640" w:firstLineChars="200"/>
        <w:jc w:val="both"/>
        <w:textAlignment w:val="auto"/>
        <w:outlineLvl w:val="1"/>
        <w:rPr>
          <w:rFonts w:ascii="仿宋_GB2312" w:eastAsia="仿宋_GB2312" w:hAnsi="仿宋_GB2312" w:cs="仿宋_GB2312"/>
          <w:b/>
          <w:bCs/>
          <w:color w:val="auto"/>
          <w:w w:val="100"/>
          <w:highlight w:val="none"/>
          <w:lang w:eastAsia="zh-CN"/>
        </w:rPr>
      </w:pPr>
      <w:bookmarkStart w:id="16" w:name="_Toc17233"/>
      <w:r>
        <w:rPr>
          <w:rFonts w:ascii="仿宋_GB2312" w:eastAsia="仿宋_GB2312" w:hAnsi="仿宋_GB2312" w:cs="仿宋_GB2312" w:hint="eastAsia"/>
          <w:b/>
          <w:bCs/>
          <w:color w:val="auto"/>
          <w:w w:val="100"/>
          <w:highlight w:val="none"/>
          <w:lang w:eastAsia="zh-CN"/>
        </w:rPr>
        <w:t>3.</w:t>
      </w:r>
      <w:r>
        <w:rPr>
          <w:rFonts w:ascii="仿宋_GB2312" w:eastAsia="仿宋_GB2312" w:hAnsi="仿宋_GB2312" w:cs="仿宋_GB2312" w:hint="eastAsia"/>
          <w:b/>
          <w:bCs/>
          <w:color w:val="auto"/>
          <w:w w:val="100"/>
          <w:highlight w:val="none"/>
          <w:lang w:val="en-US" w:eastAsia="zh-CN"/>
        </w:rPr>
        <w:t>4</w:t>
      </w:r>
      <w:r>
        <w:rPr>
          <w:rFonts w:ascii="仿宋_GB2312" w:eastAsia="仿宋_GB2312" w:hAnsi="仿宋_GB2312" w:cs="仿宋_GB2312" w:hint="eastAsia"/>
          <w:b/>
          <w:bCs/>
          <w:color w:val="auto"/>
          <w:w w:val="100"/>
          <w:highlight w:val="none"/>
          <w:lang w:eastAsia="zh-CN"/>
        </w:rPr>
        <w:t>分解曲线</w:t>
      </w:r>
      <w:bookmarkEnd w:id="16"/>
    </w:p>
    <w:p>
      <w:pPr>
        <w:pageBreakBefore w:val="0"/>
        <w:kinsoku/>
        <w:wordWrap/>
        <w:overflowPunct/>
        <w:topLinePunct w:val="0"/>
        <w:autoSpaceDE/>
        <w:autoSpaceDN/>
        <w:bidi w:val="0"/>
        <w:adjustRightInd/>
        <w:spacing w:line="560" w:lineRule="exact"/>
        <w:ind w:left="0" w:right="0" w:firstLine="640" w:firstLineChars="200"/>
        <w:jc w:val="both"/>
        <w:textAlignment w:val="auto"/>
        <w:outlineLvl w:val="9"/>
        <w:rPr>
          <w:rFonts w:ascii="仿宋_GB2312" w:eastAsia="仿宋_GB2312" w:hAnsi="仿宋_GB2312" w:cs="仿宋_GB2312"/>
          <w:color w:val="auto"/>
          <w:spacing w:val="1"/>
          <w:w w:val="100"/>
          <w:sz w:val="32"/>
          <w:szCs w:val="32"/>
          <w:highlight w:val="none"/>
          <w:lang w:eastAsia="zh-CN"/>
        </w:rPr>
      </w:pPr>
      <w:r>
        <w:rPr>
          <w:rFonts w:ascii="仿宋_GB2312" w:eastAsia="仿宋_GB2312" w:hAnsi="仿宋_GB2312" w:cs="仿宋_GB2312" w:hint="eastAsia"/>
          <w:color w:val="auto"/>
          <w:spacing w:val="1"/>
          <w:w w:val="100"/>
          <w:sz w:val="32"/>
          <w:szCs w:val="32"/>
          <w:highlight w:val="none"/>
          <w:lang w:eastAsia="zh-CN"/>
        </w:rPr>
        <w:t>分解曲线包括自定义分解曲线和典型分解曲线两类。</w:t>
      </w:r>
    </w:p>
    <w:p>
      <w:pPr>
        <w:pStyle w:val="BodyText"/>
        <w:pageBreakBefore w:val="0"/>
        <w:kinsoku/>
        <w:wordWrap/>
        <w:overflowPunct/>
        <w:topLinePunct w:val="0"/>
        <w:autoSpaceDE/>
        <w:autoSpaceDN/>
        <w:bidi w:val="0"/>
        <w:adjustRightInd/>
        <w:spacing w:line="560" w:lineRule="exact"/>
        <w:ind w:left="0" w:right="0" w:firstLine="640" w:firstLineChars="200"/>
        <w:jc w:val="both"/>
        <w:textAlignment w:val="auto"/>
        <w:outlineLvl w:val="2"/>
        <w:rPr>
          <w:rFonts w:ascii="仿宋_GB2312" w:eastAsia="仿宋_GB2312" w:hAnsi="仿宋_GB2312" w:cs="仿宋_GB2312"/>
          <w:color w:val="auto"/>
          <w:w w:val="100"/>
          <w:highlight w:val="none"/>
          <w:lang w:eastAsia="zh-CN"/>
        </w:rPr>
      </w:pPr>
      <w:r>
        <w:rPr>
          <w:rFonts w:ascii="仿宋_GB2312" w:eastAsia="仿宋_GB2312" w:hAnsi="仿宋_GB2312" w:cs="仿宋_GB2312" w:hint="eastAsia"/>
          <w:color w:val="auto"/>
          <w:spacing w:val="1"/>
          <w:w w:val="100"/>
          <w:highlight w:val="none"/>
          <w:lang w:eastAsia="zh-CN"/>
        </w:rPr>
        <w:t>3</w:t>
      </w:r>
      <w:r>
        <w:rPr>
          <w:rFonts w:ascii="仿宋_GB2312" w:eastAsia="仿宋_GB2312" w:hAnsi="仿宋_GB2312" w:cs="仿宋_GB2312" w:hint="eastAsia"/>
          <w:color w:val="auto"/>
          <w:spacing w:val="-1"/>
          <w:w w:val="100"/>
          <w:highlight w:val="none"/>
          <w:lang w:eastAsia="zh-CN"/>
        </w:rPr>
        <w:t>.</w:t>
      </w:r>
      <w:r>
        <w:rPr>
          <w:rFonts w:ascii="仿宋_GB2312" w:eastAsia="仿宋_GB2312" w:hAnsi="仿宋_GB2312" w:cs="仿宋_GB2312" w:hint="eastAsia"/>
          <w:color w:val="auto"/>
          <w:spacing w:val="1"/>
          <w:w w:val="100"/>
          <w:highlight w:val="none"/>
          <w:lang w:val="en-US" w:eastAsia="zh-CN"/>
        </w:rPr>
        <w:t>4</w:t>
      </w:r>
      <w:r>
        <w:rPr>
          <w:rFonts w:ascii="仿宋_GB2312" w:eastAsia="仿宋_GB2312" w:hAnsi="仿宋_GB2312" w:cs="仿宋_GB2312" w:hint="eastAsia"/>
          <w:color w:val="auto"/>
          <w:spacing w:val="-1"/>
          <w:w w:val="100"/>
          <w:highlight w:val="none"/>
          <w:lang w:eastAsia="zh-CN"/>
        </w:rPr>
        <w:t>.</w:t>
      </w:r>
      <w:r>
        <w:rPr>
          <w:rFonts w:ascii="仿宋_GB2312" w:eastAsia="仿宋_GB2312" w:hAnsi="仿宋_GB2312" w:cs="仿宋_GB2312" w:hint="eastAsia"/>
          <w:color w:val="auto"/>
          <w:w w:val="100"/>
          <w:highlight w:val="none"/>
          <w:lang w:eastAsia="zh-CN"/>
        </w:rPr>
        <w:t>1自定义</w:t>
      </w:r>
      <w:r>
        <w:rPr>
          <w:rFonts w:ascii="仿宋_GB2312" w:eastAsia="仿宋_GB2312" w:hAnsi="仿宋_GB2312" w:cs="仿宋_GB2312" w:hint="eastAsia"/>
          <w:color w:val="auto"/>
          <w:spacing w:val="2"/>
          <w:w w:val="100"/>
          <w:highlight w:val="none"/>
          <w:lang w:eastAsia="zh-CN"/>
        </w:rPr>
        <w:t>分</w:t>
      </w:r>
      <w:r>
        <w:rPr>
          <w:rFonts w:ascii="仿宋_GB2312" w:eastAsia="仿宋_GB2312" w:hAnsi="仿宋_GB2312" w:cs="仿宋_GB2312" w:hint="eastAsia"/>
          <w:color w:val="auto"/>
          <w:w w:val="100"/>
          <w:highlight w:val="none"/>
          <w:lang w:eastAsia="zh-CN"/>
        </w:rPr>
        <w:t>解</w:t>
      </w:r>
      <w:r>
        <w:rPr>
          <w:rFonts w:ascii="仿宋_GB2312" w:eastAsia="仿宋_GB2312" w:hAnsi="仿宋_GB2312" w:cs="仿宋_GB2312" w:hint="eastAsia"/>
          <w:color w:val="auto"/>
          <w:spacing w:val="2"/>
          <w:w w:val="100"/>
          <w:highlight w:val="none"/>
          <w:lang w:eastAsia="zh-CN"/>
        </w:rPr>
        <w:t>曲</w:t>
      </w:r>
      <w:r>
        <w:rPr>
          <w:rFonts w:ascii="仿宋_GB2312" w:eastAsia="仿宋_GB2312" w:hAnsi="仿宋_GB2312" w:cs="仿宋_GB2312" w:hint="eastAsia"/>
          <w:color w:val="auto"/>
          <w:w w:val="100"/>
          <w:highlight w:val="none"/>
          <w:lang w:eastAsia="zh-CN"/>
        </w:rPr>
        <w:t>线</w:t>
      </w:r>
    </w:p>
    <w:p>
      <w:pPr>
        <w:pStyle w:val="BodyText"/>
        <w:pageBreakBefore w:val="0"/>
        <w:kinsoku/>
        <w:wordWrap/>
        <w:overflowPunct/>
        <w:topLinePunct w:val="0"/>
        <w:autoSpaceDE/>
        <w:autoSpaceDN/>
        <w:bidi w:val="0"/>
        <w:adjustRightInd/>
        <w:spacing w:line="560" w:lineRule="exact"/>
        <w:ind w:left="0" w:right="0" w:firstLine="640" w:firstLineChars="200"/>
        <w:jc w:val="both"/>
        <w:textAlignment w:val="auto"/>
        <w:rPr>
          <w:rFonts w:ascii="仿宋_GB2312" w:eastAsia="仿宋_GB2312" w:hAnsi="仿宋_GB2312" w:cs="仿宋_GB2312"/>
          <w:color w:val="auto"/>
          <w:w w:val="100"/>
          <w:highlight w:val="none"/>
          <w:lang w:eastAsia="zh-CN"/>
        </w:rPr>
      </w:pPr>
      <w:r>
        <w:rPr>
          <w:rFonts w:ascii="仿宋_GB2312" w:eastAsia="仿宋_GB2312" w:hAnsi="仿宋_GB2312" w:cs="仿宋_GB2312" w:hint="eastAsia"/>
          <w:color w:val="auto"/>
          <w:w w:val="100"/>
          <w:highlight w:val="none"/>
          <w:lang w:eastAsia="zh-CN"/>
        </w:rPr>
        <w:t>自</w:t>
      </w:r>
      <w:r>
        <w:rPr>
          <w:rFonts w:ascii="仿宋_GB2312" w:eastAsia="仿宋_GB2312" w:hAnsi="仿宋_GB2312" w:cs="仿宋_GB2312" w:hint="eastAsia"/>
          <w:color w:val="auto"/>
          <w:spacing w:val="1"/>
          <w:w w:val="100"/>
          <w:highlight w:val="none"/>
          <w:lang w:eastAsia="zh-CN"/>
        </w:rPr>
        <w:t>定</w:t>
      </w:r>
      <w:r>
        <w:rPr>
          <w:rFonts w:ascii="仿宋_GB2312" w:eastAsia="仿宋_GB2312" w:hAnsi="仿宋_GB2312" w:cs="仿宋_GB2312" w:hint="eastAsia"/>
          <w:color w:val="auto"/>
          <w:w w:val="100"/>
          <w:highlight w:val="none"/>
          <w:lang w:eastAsia="zh-CN"/>
        </w:rPr>
        <w:t>义分</w:t>
      </w:r>
      <w:r>
        <w:rPr>
          <w:rFonts w:ascii="仿宋_GB2312" w:eastAsia="仿宋_GB2312" w:hAnsi="仿宋_GB2312" w:cs="仿宋_GB2312" w:hint="eastAsia"/>
          <w:color w:val="auto"/>
          <w:spacing w:val="1"/>
          <w:w w:val="100"/>
          <w:highlight w:val="none"/>
          <w:lang w:eastAsia="zh-CN"/>
        </w:rPr>
        <w:t>解</w:t>
      </w:r>
      <w:r>
        <w:rPr>
          <w:rFonts w:ascii="仿宋_GB2312" w:eastAsia="仿宋_GB2312" w:hAnsi="仿宋_GB2312" w:cs="仿宋_GB2312" w:hint="eastAsia"/>
          <w:color w:val="auto"/>
          <w:w w:val="100"/>
          <w:highlight w:val="none"/>
          <w:lang w:eastAsia="zh-CN"/>
        </w:rPr>
        <w:t>曲线由</w:t>
      </w:r>
      <w:r>
        <w:rPr>
          <w:rFonts w:ascii="仿宋_GB2312" w:eastAsia="仿宋_GB2312" w:hAnsi="仿宋_GB2312" w:cs="仿宋_GB2312" w:hint="eastAsia"/>
          <w:color w:val="auto"/>
          <w:w w:val="100"/>
          <w:highlight w:val="none"/>
          <w:lang w:val="en-US" w:eastAsia="zh-CN"/>
        </w:rPr>
        <w:t>各市场成员</w:t>
      </w:r>
      <w:r>
        <w:rPr>
          <w:rFonts w:ascii="仿宋_GB2312" w:eastAsia="仿宋_GB2312" w:hAnsi="仿宋_GB2312" w:cs="仿宋_GB2312" w:hint="eastAsia"/>
          <w:color w:val="auto"/>
          <w:w w:val="100"/>
          <w:highlight w:val="none"/>
          <w:lang w:eastAsia="zh-CN"/>
        </w:rPr>
        <w:t>自主</w:t>
      </w:r>
      <w:r>
        <w:rPr>
          <w:rFonts w:ascii="仿宋_GB2312" w:eastAsia="仿宋_GB2312" w:hAnsi="仿宋_GB2312" w:cs="仿宋_GB2312" w:hint="eastAsia"/>
          <w:color w:val="auto"/>
          <w:spacing w:val="1"/>
          <w:w w:val="100"/>
          <w:highlight w:val="none"/>
          <w:lang w:eastAsia="zh-CN"/>
        </w:rPr>
        <w:t>提</w:t>
      </w:r>
      <w:r>
        <w:rPr>
          <w:rFonts w:ascii="仿宋_GB2312" w:eastAsia="仿宋_GB2312" w:hAnsi="仿宋_GB2312" w:cs="仿宋_GB2312" w:hint="eastAsia"/>
          <w:color w:val="auto"/>
          <w:w w:val="100"/>
          <w:highlight w:val="none"/>
          <w:lang w:eastAsia="zh-CN"/>
        </w:rPr>
        <w:t>出</w:t>
      </w:r>
      <w:r>
        <w:rPr>
          <w:rFonts w:ascii="仿宋_GB2312" w:eastAsia="仿宋_GB2312" w:hAnsi="仿宋_GB2312" w:cs="仿宋_GB2312" w:hint="eastAsia"/>
          <w:color w:val="auto"/>
          <w:spacing w:val="-15"/>
          <w:w w:val="100"/>
          <w:highlight w:val="none"/>
          <w:lang w:eastAsia="zh-CN"/>
        </w:rPr>
        <w:t>，</w:t>
      </w:r>
      <w:r>
        <w:rPr>
          <w:rFonts w:ascii="仿宋_GB2312" w:eastAsia="仿宋_GB2312" w:hAnsi="仿宋_GB2312" w:cs="仿宋_GB2312" w:hint="eastAsia"/>
          <w:color w:val="auto"/>
          <w:w w:val="100"/>
          <w:highlight w:val="none"/>
          <w:lang w:eastAsia="zh-CN"/>
        </w:rPr>
        <w:t>将</w:t>
      </w:r>
      <w:r>
        <w:rPr>
          <w:rFonts w:ascii="仿宋_GB2312" w:eastAsia="仿宋_GB2312" w:hAnsi="仿宋_GB2312" w:cs="仿宋_GB2312" w:hint="eastAsia"/>
          <w:color w:val="auto"/>
          <w:spacing w:val="1"/>
          <w:w w:val="100"/>
          <w:highlight w:val="none"/>
          <w:lang w:eastAsia="zh-CN"/>
        </w:rPr>
        <w:t>合同</w:t>
      </w:r>
      <w:r>
        <w:rPr>
          <w:rFonts w:ascii="仿宋_GB2312" w:eastAsia="仿宋_GB2312" w:hAnsi="仿宋_GB2312" w:cs="仿宋_GB2312" w:hint="eastAsia"/>
          <w:color w:val="auto"/>
          <w:w w:val="100"/>
          <w:highlight w:val="none"/>
          <w:lang w:eastAsia="zh-CN"/>
        </w:rPr>
        <w:t>电</w:t>
      </w:r>
      <w:r>
        <w:rPr>
          <w:rFonts w:ascii="仿宋_GB2312" w:eastAsia="仿宋_GB2312" w:hAnsi="仿宋_GB2312" w:cs="仿宋_GB2312" w:hint="eastAsia"/>
          <w:color w:val="auto"/>
          <w:spacing w:val="1"/>
          <w:w w:val="100"/>
          <w:highlight w:val="none"/>
          <w:lang w:eastAsia="zh-CN"/>
        </w:rPr>
        <w:t>量</w:t>
      </w:r>
      <w:r>
        <w:rPr>
          <w:rFonts w:ascii="仿宋_GB2312" w:eastAsia="仿宋_GB2312" w:hAnsi="仿宋_GB2312" w:cs="仿宋_GB2312" w:hint="eastAsia"/>
          <w:color w:val="auto"/>
          <w:w w:val="100"/>
          <w:highlight w:val="none"/>
          <w:lang w:eastAsia="zh-CN"/>
        </w:rPr>
        <w:t>在合同</w:t>
      </w:r>
      <w:r>
        <w:rPr>
          <w:rFonts w:ascii="仿宋_GB2312" w:eastAsia="仿宋_GB2312" w:hAnsi="仿宋_GB2312" w:cs="仿宋_GB2312" w:hint="eastAsia"/>
          <w:color w:val="auto"/>
          <w:spacing w:val="1"/>
          <w:w w:val="100"/>
          <w:highlight w:val="none"/>
          <w:lang w:eastAsia="zh-CN"/>
        </w:rPr>
        <w:t>周</w:t>
      </w:r>
      <w:r>
        <w:rPr>
          <w:rFonts w:ascii="仿宋_GB2312" w:eastAsia="仿宋_GB2312" w:hAnsi="仿宋_GB2312" w:cs="仿宋_GB2312" w:hint="eastAsia"/>
          <w:color w:val="auto"/>
          <w:w w:val="100"/>
          <w:highlight w:val="none"/>
          <w:lang w:eastAsia="zh-CN"/>
        </w:rPr>
        <w:t>期内</w:t>
      </w:r>
      <w:r>
        <w:rPr>
          <w:rFonts w:ascii="仿宋_GB2312" w:eastAsia="仿宋_GB2312" w:hAnsi="仿宋_GB2312" w:cs="仿宋_GB2312" w:hint="eastAsia"/>
          <w:color w:val="auto"/>
          <w:spacing w:val="1"/>
          <w:w w:val="100"/>
          <w:highlight w:val="none"/>
          <w:lang w:eastAsia="zh-CN"/>
        </w:rPr>
        <w:t>转</w:t>
      </w:r>
      <w:r>
        <w:rPr>
          <w:rFonts w:ascii="仿宋_GB2312" w:eastAsia="仿宋_GB2312" w:hAnsi="仿宋_GB2312" w:cs="仿宋_GB2312" w:hint="eastAsia"/>
          <w:color w:val="auto"/>
          <w:w w:val="100"/>
          <w:highlight w:val="none"/>
          <w:lang w:eastAsia="zh-CN"/>
        </w:rPr>
        <w:t>换为</w:t>
      </w:r>
      <w:r>
        <w:rPr>
          <w:rFonts w:ascii="仿宋_GB2312" w:eastAsia="仿宋_GB2312" w:hAnsi="仿宋_GB2312" w:cs="仿宋_GB2312" w:hint="eastAsia"/>
          <w:color w:val="auto"/>
          <w:spacing w:val="1"/>
          <w:w w:val="100"/>
          <w:highlight w:val="none"/>
          <w:lang w:eastAsia="zh-CN"/>
        </w:rPr>
        <w:t>分</w:t>
      </w:r>
      <w:r>
        <w:rPr>
          <w:rFonts w:ascii="仿宋_GB2312" w:eastAsia="仿宋_GB2312" w:hAnsi="仿宋_GB2312" w:cs="仿宋_GB2312" w:hint="eastAsia"/>
          <w:color w:val="auto"/>
          <w:w w:val="100"/>
          <w:highlight w:val="none"/>
          <w:lang w:eastAsia="zh-CN"/>
        </w:rPr>
        <w:t>时电</w:t>
      </w:r>
      <w:r>
        <w:rPr>
          <w:rFonts w:ascii="仿宋_GB2312" w:eastAsia="仿宋_GB2312" w:hAnsi="仿宋_GB2312" w:cs="仿宋_GB2312" w:hint="eastAsia"/>
          <w:color w:val="auto"/>
          <w:spacing w:val="1"/>
          <w:w w:val="100"/>
          <w:highlight w:val="none"/>
          <w:lang w:eastAsia="zh-CN"/>
        </w:rPr>
        <w:t>量</w:t>
      </w:r>
      <w:r>
        <w:rPr>
          <w:rFonts w:ascii="仿宋_GB2312" w:eastAsia="仿宋_GB2312" w:hAnsi="仿宋_GB2312" w:cs="仿宋_GB2312" w:hint="eastAsia"/>
          <w:color w:val="auto"/>
          <w:w w:val="100"/>
          <w:highlight w:val="none"/>
          <w:lang w:eastAsia="zh-CN"/>
        </w:rPr>
        <w:t>。</w:t>
      </w:r>
    </w:p>
    <w:p>
      <w:pPr>
        <w:pStyle w:val="BodyText"/>
        <w:pageBreakBefore w:val="0"/>
        <w:kinsoku/>
        <w:wordWrap/>
        <w:overflowPunct/>
        <w:topLinePunct w:val="0"/>
        <w:autoSpaceDE/>
        <w:autoSpaceDN/>
        <w:bidi w:val="0"/>
        <w:adjustRightInd/>
        <w:spacing w:line="560" w:lineRule="exact"/>
        <w:ind w:left="0" w:right="0" w:firstLine="640" w:firstLineChars="200"/>
        <w:jc w:val="both"/>
        <w:textAlignment w:val="auto"/>
        <w:outlineLvl w:val="2"/>
        <w:rPr>
          <w:rFonts w:ascii="仿宋_GB2312" w:eastAsia="仿宋_GB2312" w:hAnsi="仿宋_GB2312" w:cs="仿宋_GB2312"/>
          <w:color w:val="auto"/>
          <w:w w:val="100"/>
          <w:highlight w:val="none"/>
          <w:lang w:eastAsia="zh-CN"/>
        </w:rPr>
      </w:pPr>
      <w:r>
        <w:rPr>
          <w:rFonts w:ascii="仿宋_GB2312" w:eastAsia="仿宋_GB2312" w:hAnsi="仿宋_GB2312" w:cs="仿宋_GB2312" w:hint="eastAsia"/>
          <w:color w:val="auto"/>
          <w:spacing w:val="1"/>
          <w:w w:val="100"/>
          <w:highlight w:val="none"/>
          <w:lang w:eastAsia="zh-CN"/>
        </w:rPr>
        <w:t>3</w:t>
      </w:r>
      <w:r>
        <w:rPr>
          <w:rFonts w:ascii="仿宋_GB2312" w:eastAsia="仿宋_GB2312" w:hAnsi="仿宋_GB2312" w:cs="仿宋_GB2312" w:hint="eastAsia"/>
          <w:color w:val="auto"/>
          <w:spacing w:val="-1"/>
          <w:w w:val="100"/>
          <w:highlight w:val="none"/>
          <w:lang w:eastAsia="zh-CN"/>
        </w:rPr>
        <w:t>.</w:t>
      </w:r>
      <w:r>
        <w:rPr>
          <w:rFonts w:ascii="仿宋_GB2312" w:eastAsia="仿宋_GB2312" w:hAnsi="仿宋_GB2312" w:cs="仿宋_GB2312" w:hint="eastAsia"/>
          <w:color w:val="auto"/>
          <w:spacing w:val="1"/>
          <w:w w:val="100"/>
          <w:highlight w:val="none"/>
          <w:lang w:val="en-US" w:eastAsia="zh-CN"/>
        </w:rPr>
        <w:t>4</w:t>
      </w:r>
      <w:r>
        <w:rPr>
          <w:rFonts w:ascii="仿宋_GB2312" w:eastAsia="仿宋_GB2312" w:hAnsi="仿宋_GB2312" w:cs="仿宋_GB2312" w:hint="eastAsia"/>
          <w:color w:val="auto"/>
          <w:spacing w:val="-1"/>
          <w:w w:val="100"/>
          <w:highlight w:val="none"/>
          <w:lang w:eastAsia="zh-CN"/>
        </w:rPr>
        <w:t>.</w:t>
      </w:r>
      <w:r>
        <w:rPr>
          <w:rFonts w:ascii="仿宋_GB2312" w:eastAsia="仿宋_GB2312" w:hAnsi="仿宋_GB2312" w:cs="仿宋_GB2312" w:hint="eastAsia"/>
          <w:color w:val="auto"/>
          <w:w w:val="100"/>
          <w:highlight w:val="none"/>
          <w:lang w:eastAsia="zh-CN"/>
        </w:rPr>
        <w:t>2典型分解曲线</w:t>
      </w:r>
    </w:p>
    <w:p>
      <w:pPr>
        <w:pStyle w:val="BodyText"/>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ascii="仿宋_GB2312" w:eastAsia="仿宋_GB2312" w:hAnsi="仿宋_GB2312" w:cs="仿宋_GB2312" w:hint="eastAsia"/>
          <w:color w:val="auto"/>
          <w:w w:val="100"/>
          <w:highlight w:val="none"/>
          <w:lang w:eastAsia="zh-CN"/>
        </w:rPr>
      </w:pPr>
      <w:r>
        <w:rPr>
          <w:rFonts w:ascii="仿宋_GB2312" w:eastAsia="仿宋_GB2312" w:hAnsi="仿宋_GB2312" w:cs="仿宋_GB2312" w:hint="eastAsia"/>
          <w:color w:val="auto"/>
          <w:w w:val="100"/>
          <w:highlight w:val="none"/>
          <w:lang w:eastAsia="zh-CN"/>
        </w:rPr>
        <w:t>典型分解</w:t>
      </w:r>
      <w:r>
        <w:rPr>
          <w:rFonts w:ascii="仿宋_GB2312" w:eastAsia="仿宋_GB2312" w:hAnsi="仿宋_GB2312" w:cs="仿宋_GB2312" w:hint="eastAsia"/>
          <w:color w:val="auto"/>
          <w:spacing w:val="2"/>
          <w:w w:val="100"/>
          <w:highlight w:val="none"/>
          <w:lang w:eastAsia="zh-CN"/>
        </w:rPr>
        <w:t>曲</w:t>
      </w:r>
      <w:r>
        <w:rPr>
          <w:rFonts w:ascii="仿宋_GB2312" w:eastAsia="仿宋_GB2312" w:hAnsi="仿宋_GB2312" w:cs="仿宋_GB2312" w:hint="eastAsia"/>
          <w:color w:val="auto"/>
          <w:w w:val="100"/>
          <w:highlight w:val="none"/>
          <w:lang w:eastAsia="zh-CN"/>
        </w:rPr>
        <w:t>线由海南电力</w:t>
      </w:r>
      <w:r>
        <w:rPr>
          <w:rFonts w:ascii="仿宋_GB2312" w:eastAsia="仿宋_GB2312" w:hAnsi="仿宋_GB2312" w:cs="仿宋_GB2312" w:hint="eastAsia"/>
          <w:color w:val="auto"/>
          <w:spacing w:val="2"/>
          <w:w w:val="100"/>
          <w:highlight w:val="none"/>
          <w:lang w:eastAsia="zh-CN"/>
        </w:rPr>
        <w:t>交</w:t>
      </w:r>
      <w:r>
        <w:rPr>
          <w:rFonts w:ascii="仿宋_GB2312" w:eastAsia="仿宋_GB2312" w:hAnsi="仿宋_GB2312" w:cs="仿宋_GB2312" w:hint="eastAsia"/>
          <w:color w:val="auto"/>
          <w:w w:val="100"/>
          <w:highlight w:val="none"/>
          <w:lang w:eastAsia="zh-CN"/>
        </w:rPr>
        <w:t>易中</w:t>
      </w:r>
      <w:r>
        <w:rPr>
          <w:rFonts w:ascii="仿宋_GB2312" w:eastAsia="仿宋_GB2312" w:hAnsi="仿宋_GB2312" w:cs="仿宋_GB2312" w:hint="eastAsia"/>
          <w:color w:val="auto"/>
          <w:spacing w:val="2"/>
          <w:w w:val="100"/>
          <w:highlight w:val="none"/>
          <w:lang w:eastAsia="zh-CN"/>
        </w:rPr>
        <w:t>心</w:t>
      </w:r>
      <w:r>
        <w:rPr>
          <w:rFonts w:ascii="仿宋_GB2312" w:eastAsia="仿宋_GB2312" w:hAnsi="仿宋_GB2312" w:cs="仿宋_GB2312" w:hint="eastAsia"/>
          <w:color w:val="auto"/>
          <w:w w:val="100"/>
          <w:highlight w:val="none"/>
          <w:lang w:eastAsia="zh-CN"/>
        </w:rPr>
        <w:t>会同</w:t>
      </w:r>
      <w:r>
        <w:rPr>
          <w:rFonts w:ascii="仿宋_GB2312" w:eastAsia="仿宋_GB2312" w:hAnsi="仿宋_GB2312" w:cs="仿宋_GB2312" w:hint="eastAsia"/>
          <w:color w:val="auto"/>
          <w:spacing w:val="2"/>
          <w:w w:val="100"/>
          <w:highlight w:val="none"/>
          <w:lang w:eastAsia="zh-CN"/>
        </w:rPr>
        <w:t>调</w:t>
      </w:r>
      <w:r>
        <w:rPr>
          <w:rFonts w:ascii="仿宋_GB2312" w:eastAsia="仿宋_GB2312" w:hAnsi="仿宋_GB2312" w:cs="仿宋_GB2312" w:hint="eastAsia"/>
          <w:color w:val="auto"/>
          <w:w w:val="100"/>
          <w:highlight w:val="none"/>
          <w:lang w:eastAsia="zh-CN"/>
        </w:rPr>
        <w:t>度机</w:t>
      </w:r>
      <w:r>
        <w:rPr>
          <w:rFonts w:ascii="仿宋_GB2312" w:eastAsia="仿宋_GB2312" w:hAnsi="仿宋_GB2312" w:cs="仿宋_GB2312" w:hint="eastAsia"/>
          <w:color w:val="auto"/>
          <w:spacing w:val="2"/>
          <w:w w:val="100"/>
          <w:highlight w:val="none"/>
          <w:lang w:eastAsia="zh-CN"/>
        </w:rPr>
        <w:t>构根据统调负荷特性、用户负荷特性、发电特性等</w:t>
      </w:r>
      <w:r>
        <w:rPr>
          <w:rFonts w:ascii="仿宋_GB2312" w:eastAsia="仿宋_GB2312" w:hAnsi="仿宋_GB2312" w:cs="仿宋_GB2312" w:hint="eastAsia"/>
          <w:color w:val="auto"/>
          <w:w w:val="100"/>
          <w:highlight w:val="none"/>
          <w:lang w:eastAsia="zh-CN"/>
        </w:rPr>
        <w:t>制定</w:t>
      </w:r>
      <w:r>
        <w:rPr>
          <w:rFonts w:ascii="仿宋_GB2312" w:eastAsia="仿宋_GB2312" w:hAnsi="仿宋_GB2312" w:cs="仿宋_GB2312" w:hint="eastAsia"/>
          <w:color w:val="auto"/>
          <w:spacing w:val="2"/>
          <w:w w:val="100"/>
          <w:highlight w:val="none"/>
          <w:lang w:eastAsia="zh-CN"/>
        </w:rPr>
        <w:t>发</w:t>
      </w:r>
      <w:r>
        <w:rPr>
          <w:rFonts w:ascii="仿宋_GB2312" w:eastAsia="仿宋_GB2312" w:hAnsi="仿宋_GB2312" w:cs="仿宋_GB2312" w:hint="eastAsia"/>
          <w:color w:val="auto"/>
          <w:w w:val="100"/>
          <w:highlight w:val="none"/>
          <w:lang w:eastAsia="zh-CN"/>
        </w:rPr>
        <w:t>布</w:t>
      </w:r>
      <w:r>
        <w:rPr>
          <w:rFonts w:ascii="仿宋_GB2312" w:eastAsia="仿宋_GB2312" w:hAnsi="仿宋_GB2312" w:cs="仿宋_GB2312" w:hint="eastAsia"/>
          <w:color w:val="auto"/>
          <w:spacing w:val="-16"/>
          <w:w w:val="100"/>
          <w:highlight w:val="none"/>
          <w:lang w:eastAsia="zh-CN"/>
        </w:rPr>
        <w:t>，</w:t>
      </w:r>
      <w:r>
        <w:rPr>
          <w:rFonts w:ascii="仿宋_GB2312" w:eastAsia="仿宋_GB2312" w:hAnsi="仿宋_GB2312" w:cs="仿宋_GB2312" w:hint="eastAsia"/>
          <w:color w:val="auto"/>
          <w:w w:val="100"/>
          <w:highlight w:val="none"/>
          <w:lang w:val="en-US" w:eastAsia="zh-CN"/>
        </w:rPr>
        <w:t>各市场成员</w:t>
      </w:r>
      <w:r>
        <w:rPr>
          <w:rFonts w:ascii="仿宋_GB2312" w:eastAsia="仿宋_GB2312" w:hAnsi="仿宋_GB2312" w:cs="仿宋_GB2312" w:hint="eastAsia"/>
          <w:color w:val="auto"/>
          <w:spacing w:val="-16"/>
          <w:w w:val="100"/>
          <w:highlight w:val="none"/>
          <w:lang w:eastAsia="zh-CN"/>
        </w:rPr>
        <w:t>可选择典型曲线</w:t>
      </w:r>
      <w:r>
        <w:rPr>
          <w:rFonts w:ascii="仿宋_GB2312" w:eastAsia="仿宋_GB2312" w:hAnsi="仿宋_GB2312" w:cs="仿宋_GB2312" w:hint="eastAsia"/>
          <w:color w:val="auto"/>
          <w:spacing w:val="-16"/>
          <w:w w:val="100"/>
          <w:highlight w:val="none"/>
          <w:lang w:val="en-US" w:eastAsia="zh-CN"/>
        </w:rPr>
        <w:t>中的年分月、月分日及日分时电量比例</w:t>
      </w:r>
      <w:r>
        <w:rPr>
          <w:rFonts w:ascii="仿宋_GB2312" w:eastAsia="仿宋_GB2312" w:hAnsi="仿宋_GB2312" w:cs="仿宋_GB2312" w:hint="eastAsia"/>
          <w:color w:val="auto"/>
          <w:w w:val="100"/>
          <w:highlight w:val="none"/>
          <w:lang w:eastAsia="zh-CN"/>
        </w:rPr>
        <w:t>将合同</w:t>
      </w:r>
      <w:r>
        <w:rPr>
          <w:rFonts w:ascii="仿宋_GB2312" w:eastAsia="仿宋_GB2312" w:hAnsi="仿宋_GB2312" w:cs="仿宋_GB2312" w:hint="eastAsia"/>
          <w:color w:val="auto"/>
          <w:spacing w:val="1"/>
          <w:w w:val="100"/>
          <w:highlight w:val="none"/>
          <w:lang w:eastAsia="zh-CN"/>
        </w:rPr>
        <w:t>电</w:t>
      </w:r>
      <w:r>
        <w:rPr>
          <w:rFonts w:ascii="仿宋_GB2312" w:eastAsia="仿宋_GB2312" w:hAnsi="仿宋_GB2312" w:cs="仿宋_GB2312" w:hint="eastAsia"/>
          <w:color w:val="auto"/>
          <w:w w:val="100"/>
          <w:highlight w:val="none"/>
          <w:lang w:eastAsia="zh-CN"/>
        </w:rPr>
        <w:t>量在</w:t>
      </w:r>
      <w:r>
        <w:rPr>
          <w:rFonts w:ascii="仿宋_GB2312" w:eastAsia="仿宋_GB2312" w:hAnsi="仿宋_GB2312" w:cs="仿宋_GB2312" w:hint="eastAsia"/>
          <w:color w:val="auto"/>
          <w:spacing w:val="1"/>
          <w:w w:val="100"/>
          <w:highlight w:val="none"/>
          <w:lang w:eastAsia="zh-CN"/>
        </w:rPr>
        <w:t>合同</w:t>
      </w:r>
      <w:r>
        <w:rPr>
          <w:rFonts w:ascii="仿宋_GB2312" w:eastAsia="仿宋_GB2312" w:hAnsi="仿宋_GB2312" w:cs="仿宋_GB2312" w:hint="eastAsia"/>
          <w:color w:val="auto"/>
          <w:w w:val="100"/>
          <w:highlight w:val="none"/>
          <w:lang w:eastAsia="zh-CN"/>
        </w:rPr>
        <w:t>周</w:t>
      </w:r>
      <w:r>
        <w:rPr>
          <w:rFonts w:ascii="仿宋_GB2312" w:eastAsia="仿宋_GB2312" w:hAnsi="仿宋_GB2312" w:cs="仿宋_GB2312" w:hint="eastAsia"/>
          <w:color w:val="auto"/>
          <w:spacing w:val="1"/>
          <w:w w:val="100"/>
          <w:highlight w:val="none"/>
          <w:lang w:eastAsia="zh-CN"/>
        </w:rPr>
        <w:t>期</w:t>
      </w:r>
      <w:r>
        <w:rPr>
          <w:rFonts w:ascii="仿宋_GB2312" w:eastAsia="仿宋_GB2312" w:hAnsi="仿宋_GB2312" w:cs="仿宋_GB2312" w:hint="eastAsia"/>
          <w:color w:val="auto"/>
          <w:w w:val="100"/>
          <w:highlight w:val="none"/>
          <w:lang w:eastAsia="zh-CN"/>
        </w:rPr>
        <w:t>内转</w:t>
      </w:r>
      <w:r>
        <w:rPr>
          <w:rFonts w:ascii="仿宋_GB2312" w:eastAsia="仿宋_GB2312" w:hAnsi="仿宋_GB2312" w:cs="仿宋_GB2312" w:hint="eastAsia"/>
          <w:color w:val="auto"/>
          <w:spacing w:val="1"/>
          <w:w w:val="100"/>
          <w:highlight w:val="none"/>
          <w:lang w:eastAsia="zh-CN"/>
        </w:rPr>
        <w:t>换</w:t>
      </w:r>
      <w:r>
        <w:rPr>
          <w:rFonts w:ascii="仿宋_GB2312" w:eastAsia="仿宋_GB2312" w:hAnsi="仿宋_GB2312" w:cs="仿宋_GB2312" w:hint="eastAsia"/>
          <w:color w:val="auto"/>
          <w:w w:val="100"/>
          <w:highlight w:val="none"/>
          <w:lang w:eastAsia="zh-CN"/>
        </w:rPr>
        <w:t>为</w:t>
      </w:r>
      <w:r>
        <w:rPr>
          <w:rFonts w:ascii="仿宋_GB2312" w:eastAsia="仿宋_GB2312" w:hAnsi="仿宋_GB2312" w:cs="仿宋_GB2312" w:hint="eastAsia"/>
          <w:color w:val="auto"/>
          <w:spacing w:val="1"/>
          <w:w w:val="100"/>
          <w:highlight w:val="none"/>
          <w:lang w:eastAsia="zh-CN"/>
        </w:rPr>
        <w:t>分</w:t>
      </w:r>
      <w:r>
        <w:rPr>
          <w:rFonts w:ascii="仿宋_GB2312" w:eastAsia="仿宋_GB2312" w:hAnsi="仿宋_GB2312" w:cs="仿宋_GB2312" w:hint="eastAsia"/>
          <w:color w:val="auto"/>
          <w:w w:val="100"/>
          <w:highlight w:val="none"/>
          <w:lang w:eastAsia="zh-CN"/>
        </w:rPr>
        <w:t>时电量。</w:t>
      </w:r>
    </w:p>
    <w:p>
      <w:pPr>
        <w:pStyle w:val="BodyText"/>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ascii="仿宋_GB2312" w:eastAsia="仿宋_GB2312" w:hAnsi="仿宋_GB2312" w:cs="仿宋_GB2312" w:hint="eastAsia"/>
          <w:color w:val="auto"/>
          <w:w w:val="100"/>
          <w:highlight w:val="none"/>
          <w:lang w:val="en-US" w:eastAsia="zh-CN"/>
        </w:rPr>
      </w:pPr>
      <w:r>
        <w:rPr>
          <w:rFonts w:ascii="仿宋_GB2312" w:eastAsia="仿宋_GB2312" w:hAnsi="仿宋_GB2312" w:cs="仿宋_GB2312" w:hint="eastAsia"/>
          <w:color w:val="auto"/>
          <w:w w:val="100"/>
          <w:highlight w:val="none"/>
          <w:lang w:val="en-US" w:eastAsia="zh-CN"/>
        </w:rPr>
        <w:t>（1）年分月电量比例（Y）：年度分月电量比例。</w:t>
      </w:r>
    </w:p>
    <w:p>
      <w:pPr>
        <w:pStyle w:val="BodyText"/>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ascii="仿宋_GB2312" w:eastAsia="仿宋_GB2312" w:hAnsi="仿宋_GB2312" w:cs="仿宋_GB2312" w:hint="eastAsia"/>
          <w:color w:val="auto"/>
          <w:w w:val="100"/>
          <w:highlight w:val="none"/>
          <w:lang w:val="en-US" w:eastAsia="zh-CN"/>
        </w:rPr>
      </w:pPr>
      <w:r>
        <w:rPr>
          <w:rFonts w:ascii="仿宋_GB2312" w:eastAsia="仿宋_GB2312" w:hAnsi="仿宋_GB2312" w:cs="仿宋_GB2312" w:hint="eastAsia"/>
          <w:color w:val="auto"/>
          <w:w w:val="100"/>
          <w:highlight w:val="none"/>
          <w:lang w:val="en-US" w:eastAsia="zh-CN"/>
        </w:rPr>
        <w:t>（2）月分日电量比例（M）：工作日、周六、周日、法定节假日、调休节假日等多种典型日的电量比例。</w:t>
      </w:r>
    </w:p>
    <w:p>
      <w:pPr>
        <w:pStyle w:val="BodyText"/>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ascii="仿宋_GB2312" w:eastAsia="仿宋_GB2312" w:hAnsi="仿宋_GB2312" w:cs="仿宋_GB2312" w:hint="eastAsia"/>
          <w:color w:val="auto"/>
          <w:w w:val="100"/>
          <w:highlight w:val="none"/>
          <w:lang w:val="en-US" w:eastAsia="zh-CN"/>
        </w:rPr>
      </w:pPr>
      <w:r>
        <w:rPr>
          <w:rFonts w:ascii="仿宋_GB2312" w:eastAsia="仿宋_GB2312" w:hAnsi="仿宋_GB2312" w:cs="仿宋_GB2312" w:hint="eastAsia"/>
          <w:color w:val="auto"/>
          <w:w w:val="100"/>
          <w:highlight w:val="none"/>
          <w:lang w:val="en-US" w:eastAsia="zh-CN"/>
        </w:rPr>
        <w:t>（3）日分时电量比例（D）：将日电量分解至交易标的内各小时的电量比例。</w:t>
      </w:r>
    </w:p>
    <w:p>
      <w:pPr>
        <w:pStyle w:val="BodyText"/>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ascii="仿宋_GB2312" w:eastAsia="仿宋_GB2312" w:hAnsi="仿宋_GB2312" w:cs="仿宋_GB2312" w:hint="default"/>
          <w:color w:val="auto"/>
          <w:w w:val="100"/>
          <w:highlight w:val="none"/>
          <w:lang w:val="en-US" w:eastAsia="zh-CN"/>
        </w:rPr>
      </w:pPr>
      <w:r>
        <w:rPr>
          <w:rFonts w:ascii="仿宋_GB2312" w:eastAsia="仿宋_GB2312" w:hAnsi="仿宋_GB2312" w:cs="仿宋_GB2312" w:hint="eastAsia"/>
          <w:color w:val="auto"/>
          <w:w w:val="100"/>
          <w:highlight w:val="none"/>
          <w:lang w:eastAsia="zh-CN"/>
        </w:rPr>
        <w:t>具体以海南电力交易中心发布的为准。</w:t>
      </w:r>
    </w:p>
    <w:p>
      <w:pPr>
        <w:pStyle w:val="BodyText"/>
        <w:pageBreakBefore w:val="0"/>
        <w:tabs>
          <w:tab w:val="left" w:pos="659"/>
        </w:tabs>
        <w:kinsoku/>
        <w:wordWrap/>
        <w:overflowPunct/>
        <w:topLinePunct w:val="0"/>
        <w:autoSpaceDE/>
        <w:autoSpaceDN/>
        <w:bidi w:val="0"/>
        <w:adjustRightInd/>
        <w:spacing w:line="560" w:lineRule="exact"/>
        <w:ind w:left="0" w:right="0" w:firstLine="640" w:firstLineChars="200"/>
        <w:jc w:val="both"/>
        <w:textAlignment w:val="auto"/>
        <w:outlineLvl w:val="0"/>
        <w:rPr>
          <w:rFonts w:ascii="黑体" w:eastAsia="黑体" w:hAnsi="黑体" w:cs="黑体" w:hint="eastAsia"/>
          <w:b w:val="0"/>
          <w:bCs w:val="0"/>
          <w:color w:val="auto"/>
          <w:w w:val="100"/>
          <w:highlight w:val="none"/>
          <w:lang w:eastAsia="zh-CN"/>
        </w:rPr>
      </w:pPr>
      <w:bookmarkStart w:id="17" w:name="_Toc12951"/>
      <w:r>
        <w:rPr>
          <w:rFonts w:ascii="黑体" w:eastAsia="黑体" w:hAnsi="黑体" w:cs="黑体" w:hint="eastAsia"/>
          <w:b w:val="0"/>
          <w:bCs w:val="0"/>
          <w:color w:val="auto"/>
          <w:w w:val="100"/>
          <w:highlight w:val="none"/>
          <w:lang w:eastAsia="zh-CN"/>
        </w:rPr>
        <w:t>4.价格机制</w:t>
      </w:r>
      <w:bookmarkEnd w:id="17"/>
    </w:p>
    <w:p>
      <w:pPr>
        <w:pStyle w:val="BodyText"/>
        <w:pageBreakBefore w:val="0"/>
        <w:kinsoku/>
        <w:wordWrap/>
        <w:overflowPunct/>
        <w:topLinePunct w:val="0"/>
        <w:autoSpaceDE/>
        <w:autoSpaceDN/>
        <w:bidi w:val="0"/>
        <w:adjustRightInd/>
        <w:spacing w:line="560" w:lineRule="exact"/>
        <w:ind w:left="0" w:right="0" w:firstLine="640" w:firstLineChars="200"/>
        <w:jc w:val="both"/>
        <w:textAlignment w:val="auto"/>
        <w:outlineLvl w:val="1"/>
        <w:rPr>
          <w:rFonts w:ascii="仿宋_GB2312" w:eastAsia="仿宋_GB2312" w:hAnsi="仿宋_GB2312" w:cs="仿宋_GB2312" w:hint="default"/>
          <w:b/>
          <w:bCs/>
          <w:color w:val="auto"/>
          <w:w w:val="100"/>
          <w:highlight w:val="none"/>
          <w:lang w:val="en-US" w:eastAsia="zh-CN"/>
        </w:rPr>
      </w:pPr>
      <w:r>
        <w:rPr>
          <w:rFonts w:ascii="仿宋_GB2312" w:eastAsia="仿宋_GB2312" w:hAnsi="仿宋_GB2312" w:cs="仿宋_GB2312" w:hint="eastAsia"/>
          <w:b/>
          <w:bCs/>
          <w:color w:val="auto"/>
          <w:w w:val="100"/>
          <w:highlight w:val="none"/>
          <w:lang w:eastAsia="zh-CN"/>
        </w:rPr>
        <w:t>4.1</w:t>
      </w:r>
      <w:r>
        <w:rPr>
          <w:rFonts w:ascii="仿宋_GB2312" w:eastAsia="仿宋_GB2312" w:hAnsi="仿宋_GB2312" w:cs="仿宋_GB2312" w:hint="eastAsia"/>
          <w:b/>
          <w:bCs/>
          <w:color w:val="auto"/>
          <w:w w:val="100"/>
          <w:highlight w:val="none"/>
          <w:lang w:val="en-US" w:eastAsia="zh-CN"/>
        </w:rPr>
        <w:t>价格构成</w:t>
      </w:r>
    </w:p>
    <w:p>
      <w:pPr>
        <w:pStyle w:val="BodyText"/>
        <w:pageBreakBefore w:val="0"/>
        <w:kinsoku/>
        <w:wordWrap/>
        <w:overflowPunct/>
        <w:topLinePunct w:val="0"/>
        <w:autoSpaceDE/>
        <w:autoSpaceDN/>
        <w:bidi w:val="0"/>
        <w:adjustRightInd/>
        <w:spacing w:line="560" w:lineRule="exact"/>
        <w:ind w:left="0" w:right="0" w:firstLine="640" w:firstLineChars="200"/>
        <w:jc w:val="both"/>
        <w:textAlignment w:val="auto"/>
        <w:outlineLvl w:val="9"/>
        <w:rPr>
          <w:rFonts w:ascii="仿宋_GB2312" w:eastAsia="仿宋_GB2312" w:hAnsi="仿宋_GB2312" w:cs="仿宋_GB2312" w:hint="eastAsia"/>
          <w:color w:val="auto"/>
          <w:spacing w:val="1"/>
          <w:w w:val="100"/>
          <w:highlight w:val="none"/>
          <w:lang w:eastAsia="zh-CN"/>
        </w:rPr>
      </w:pPr>
      <w:r>
        <w:rPr>
          <w:rFonts w:ascii="仿宋_GB2312" w:eastAsia="仿宋_GB2312" w:hAnsi="仿宋_GB2312" w:cs="仿宋_GB2312" w:hint="eastAsia"/>
          <w:color w:val="auto"/>
          <w:w w:val="100"/>
          <w:highlight w:val="none"/>
          <w:lang w:val="en-US" w:eastAsia="zh-CN"/>
        </w:rPr>
        <w:t>4.1.1</w:t>
      </w:r>
      <w:r>
        <w:rPr>
          <w:rFonts w:ascii="仿宋_GB2312" w:eastAsia="仿宋_GB2312" w:hAnsi="仿宋_GB2312" w:cs="仿宋_GB2312" w:hint="eastAsia"/>
          <w:color w:val="auto"/>
          <w:highlight w:val="none"/>
          <w:lang w:eastAsia="zh-CN"/>
        </w:rPr>
        <w:t>电能量市场化交易（含省内和跨省）价格</w:t>
      </w:r>
      <w:r>
        <w:rPr>
          <w:rFonts w:ascii="仿宋_GB2312" w:eastAsia="仿宋_GB2312" w:hAnsi="仿宋_GB2312" w:cs="仿宋_GB2312" w:hint="eastAsia"/>
          <w:color w:val="auto"/>
          <w:w w:val="100"/>
          <w:highlight w:val="none"/>
          <w:lang w:eastAsia="zh-CN"/>
        </w:rPr>
        <w:t>包括脱硫、脱硝、除尘和超低排放电价等价格，并按照国家有关规定执行。燃煤发电市场交易价格执行“基准价+上下浮动”价格机制</w:t>
      </w:r>
      <w:r>
        <w:rPr>
          <w:rFonts w:ascii="仿宋_GB2312" w:eastAsia="仿宋_GB2312" w:hAnsi="仿宋_GB2312" w:cs="仿宋_GB2312" w:hint="eastAsia"/>
          <w:color w:val="auto"/>
          <w:spacing w:val="1"/>
          <w:w w:val="100"/>
          <w:highlight w:val="none"/>
          <w:lang w:eastAsia="zh-CN"/>
        </w:rPr>
        <w:t>。</w:t>
      </w:r>
    </w:p>
    <w:p>
      <w:pPr>
        <w:pStyle w:val="BodyText"/>
        <w:pageBreakBefore w:val="0"/>
        <w:kinsoku/>
        <w:wordWrap/>
        <w:overflowPunct/>
        <w:topLinePunct w:val="0"/>
        <w:autoSpaceDE/>
        <w:autoSpaceDN/>
        <w:bidi w:val="0"/>
        <w:adjustRightInd/>
        <w:spacing w:line="560" w:lineRule="exact"/>
        <w:ind w:left="0" w:right="0" w:firstLine="640" w:firstLineChars="200"/>
        <w:jc w:val="both"/>
        <w:textAlignment w:val="auto"/>
        <w:outlineLvl w:val="9"/>
        <w:rPr>
          <w:rFonts w:ascii="仿宋_GB2312" w:eastAsia="仿宋_GB2312" w:hAnsi="仿宋_GB2312" w:cs="仿宋_GB2312" w:hint="eastAsia"/>
          <w:color w:val="auto"/>
          <w:highlight w:val="none"/>
          <w:lang w:eastAsia="zh-CN"/>
        </w:rPr>
      </w:pPr>
      <w:r>
        <w:rPr>
          <w:rFonts w:ascii="仿宋_GB2312" w:eastAsia="仿宋_GB2312" w:hAnsi="仿宋_GB2312" w:cs="仿宋_GB2312" w:hint="eastAsia"/>
          <w:color w:val="auto"/>
          <w:spacing w:val="0"/>
          <w:w w:val="100"/>
          <w:highlight w:val="none"/>
          <w:lang w:val="en-US" w:eastAsia="zh-CN"/>
        </w:rPr>
        <w:t>4.1.2</w:t>
      </w:r>
      <w:r>
        <w:rPr>
          <w:rFonts w:ascii="仿宋_GB2312" w:eastAsia="仿宋_GB2312" w:hAnsi="仿宋_GB2312" w:cs="仿宋_GB2312" w:hint="eastAsia"/>
          <w:color w:val="auto"/>
          <w:spacing w:val="0"/>
          <w:highlight w:val="none"/>
          <w:lang w:eastAsia="zh-CN"/>
        </w:rPr>
        <w:t>交易申报最小电量单位为</w:t>
      </w:r>
      <w:r>
        <w:rPr>
          <w:rFonts w:ascii="仿宋_GB2312" w:eastAsia="仿宋_GB2312" w:hAnsi="仿宋_GB2312" w:cs="仿宋_GB2312" w:hint="eastAsia"/>
          <w:color w:val="auto"/>
          <w:highlight w:val="none"/>
          <w:lang w:eastAsia="zh-CN"/>
        </w:rPr>
        <w:t>0.001MWh，最小价格单位为0.001元/MWh，</w:t>
      </w:r>
      <w:r>
        <w:rPr>
          <w:rFonts w:ascii="仿宋_GB2312" w:eastAsia="仿宋_GB2312" w:hAnsi="仿宋_GB2312" w:cs="仿宋_GB2312" w:hint="eastAsia"/>
          <w:color w:val="auto"/>
          <w:highlight w:val="none"/>
          <w:lang w:val="en-US" w:eastAsia="zh-CN"/>
        </w:rPr>
        <w:t>绿证价格最小单位设置要求按照国家及南方区域有关规定执行</w:t>
      </w:r>
      <w:r>
        <w:rPr>
          <w:rFonts w:ascii="仿宋_GB2312" w:eastAsia="仿宋_GB2312" w:hAnsi="仿宋_GB2312" w:cs="仿宋_GB2312" w:hint="eastAsia"/>
          <w:color w:val="auto"/>
          <w:highlight w:val="none"/>
          <w:lang w:eastAsia="zh-CN"/>
        </w:rPr>
        <w:t>。</w:t>
      </w:r>
    </w:p>
    <w:p>
      <w:pPr>
        <w:pStyle w:val="BodyText"/>
        <w:pageBreakBefore w:val="0"/>
        <w:kinsoku/>
        <w:wordWrap/>
        <w:overflowPunct/>
        <w:topLinePunct w:val="0"/>
        <w:autoSpaceDE/>
        <w:autoSpaceDN/>
        <w:bidi w:val="0"/>
        <w:adjustRightInd/>
        <w:spacing w:line="560" w:lineRule="exact"/>
        <w:ind w:left="0" w:right="0" w:firstLine="640" w:firstLineChars="200"/>
        <w:jc w:val="both"/>
        <w:textAlignment w:val="auto"/>
        <w:outlineLvl w:val="9"/>
        <w:rPr>
          <w:rFonts w:ascii="仿宋_GB2312" w:eastAsia="仿宋_GB2312" w:hAnsi="仿宋_GB2312" w:cs="仿宋_GB2312"/>
          <w:b/>
          <w:bCs/>
          <w:color w:val="auto"/>
          <w:w w:val="100"/>
          <w:highlight w:val="none"/>
          <w:lang w:eastAsia="zh-CN"/>
        </w:rPr>
      </w:pPr>
      <w:r>
        <w:rPr>
          <w:rFonts w:ascii="仿宋_GB2312" w:eastAsia="仿宋_GB2312" w:hAnsi="仿宋_GB2312" w:cs="仿宋_GB2312" w:hint="eastAsia"/>
          <w:b/>
          <w:bCs/>
          <w:color w:val="auto"/>
          <w:w w:val="100"/>
          <w:highlight w:val="none"/>
          <w:lang w:eastAsia="zh-CN"/>
        </w:rPr>
        <w:t>4.2市场化价格形成机制</w:t>
      </w:r>
    </w:p>
    <w:p>
      <w:pPr>
        <w:pStyle w:val="BodyText"/>
        <w:pageBreakBefore w:val="0"/>
        <w:kinsoku/>
        <w:wordWrap/>
        <w:overflowPunct/>
        <w:topLinePunct w:val="0"/>
        <w:autoSpaceDE/>
        <w:autoSpaceDN/>
        <w:bidi w:val="0"/>
        <w:adjustRightInd/>
        <w:spacing w:line="560" w:lineRule="exact"/>
        <w:ind w:left="0" w:right="0" w:firstLine="640" w:firstLineChars="200"/>
        <w:jc w:val="both"/>
        <w:textAlignment w:val="auto"/>
        <w:outlineLvl w:val="9"/>
        <w:rPr>
          <w:rFonts w:ascii="仿宋_GB2312" w:eastAsia="仿宋_GB2312" w:hAnsi="仿宋_GB2312" w:cs="仿宋_GB2312"/>
          <w:color w:val="auto"/>
          <w:w w:val="100"/>
          <w:highlight w:val="none"/>
          <w:lang w:eastAsia="zh-CN"/>
        </w:rPr>
      </w:pPr>
      <w:r>
        <w:rPr>
          <w:rFonts w:ascii="仿宋_GB2312" w:eastAsia="仿宋_GB2312" w:hAnsi="仿宋_GB2312" w:cs="仿宋_GB2312" w:hint="eastAsia"/>
          <w:color w:val="auto"/>
          <w:w w:val="100"/>
          <w:highlight w:val="none"/>
          <w:lang w:eastAsia="zh-CN"/>
        </w:rPr>
        <w:t>除计划电量执行政府确定的价格外，中长期</w:t>
      </w:r>
      <w:r>
        <w:rPr>
          <w:rFonts w:ascii="仿宋_GB2312" w:eastAsia="仿宋_GB2312" w:hAnsi="仿宋_GB2312" w:cs="仿宋_GB2312" w:hint="eastAsia"/>
          <w:color w:val="auto"/>
          <w:w w:val="100"/>
          <w:highlight w:val="none"/>
          <w:lang w:val="en-US" w:eastAsia="zh-CN"/>
        </w:rPr>
        <w:t>电能量</w:t>
      </w:r>
      <w:r>
        <w:rPr>
          <w:rFonts w:ascii="仿宋_GB2312" w:eastAsia="仿宋_GB2312" w:hAnsi="仿宋_GB2312" w:cs="仿宋_GB2312" w:hint="eastAsia"/>
          <w:color w:val="auto"/>
          <w:w w:val="100"/>
          <w:highlight w:val="none"/>
          <w:lang w:eastAsia="zh-CN"/>
        </w:rPr>
        <w:t>交易的成交价格应当由各市场成员通过双边协商、集中交易等市场化方式形成，第三方不得干预。</w:t>
      </w:r>
    </w:p>
    <w:p>
      <w:pPr>
        <w:pStyle w:val="BodyText"/>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2"/>
        <w:rPr>
          <w:rFonts w:ascii="仿宋_GB2312" w:eastAsia="仿宋_GB2312" w:hAnsi="仿宋_GB2312" w:cs="仿宋_GB2312"/>
          <w:color w:val="auto"/>
          <w:spacing w:val="2"/>
          <w:w w:val="100"/>
          <w:highlight w:val="none"/>
          <w:lang w:eastAsia="zh-CN"/>
        </w:rPr>
      </w:pPr>
      <w:r>
        <w:rPr>
          <w:rFonts w:ascii="仿宋_GB2312" w:eastAsia="仿宋_GB2312" w:hAnsi="仿宋_GB2312" w:cs="仿宋_GB2312" w:hint="eastAsia"/>
          <w:color w:val="auto"/>
          <w:w w:val="100"/>
          <w:highlight w:val="none"/>
          <w:lang w:eastAsia="zh-CN"/>
        </w:rPr>
        <w:t>4.2.1双</w:t>
      </w:r>
      <w:r>
        <w:rPr>
          <w:rFonts w:ascii="仿宋_GB2312" w:eastAsia="仿宋_GB2312" w:hAnsi="仿宋_GB2312" w:cs="仿宋_GB2312" w:hint="eastAsia"/>
          <w:color w:val="auto"/>
          <w:spacing w:val="2"/>
          <w:w w:val="100"/>
          <w:highlight w:val="none"/>
          <w:lang w:eastAsia="zh-CN"/>
        </w:rPr>
        <w:t>边</w:t>
      </w:r>
      <w:r>
        <w:rPr>
          <w:rFonts w:ascii="仿宋_GB2312" w:eastAsia="仿宋_GB2312" w:hAnsi="仿宋_GB2312" w:cs="仿宋_GB2312" w:hint="eastAsia"/>
          <w:color w:val="auto"/>
          <w:w w:val="100"/>
          <w:highlight w:val="none"/>
          <w:lang w:eastAsia="zh-CN"/>
        </w:rPr>
        <w:t>协</w:t>
      </w:r>
      <w:r>
        <w:rPr>
          <w:rFonts w:ascii="仿宋_GB2312" w:eastAsia="仿宋_GB2312" w:hAnsi="仿宋_GB2312" w:cs="仿宋_GB2312" w:hint="eastAsia"/>
          <w:color w:val="auto"/>
          <w:spacing w:val="2"/>
          <w:w w:val="100"/>
          <w:highlight w:val="none"/>
          <w:lang w:eastAsia="zh-CN"/>
        </w:rPr>
        <w:t>商</w:t>
      </w:r>
    </w:p>
    <w:p>
      <w:pPr>
        <w:pStyle w:val="BodyText"/>
        <w:pageBreakBefore w:val="0"/>
        <w:kinsoku/>
        <w:wordWrap/>
        <w:overflowPunct/>
        <w:topLinePunct w:val="0"/>
        <w:autoSpaceDE/>
        <w:autoSpaceDN/>
        <w:bidi w:val="0"/>
        <w:adjustRightInd/>
        <w:spacing w:line="560" w:lineRule="exact"/>
        <w:ind w:left="0" w:right="0" w:firstLine="640" w:firstLineChars="200"/>
        <w:jc w:val="both"/>
        <w:textAlignment w:val="auto"/>
        <w:rPr>
          <w:rFonts w:ascii="仿宋_GB2312" w:eastAsia="仿宋_GB2312" w:hAnsi="仿宋_GB2312" w:cs="仿宋_GB2312"/>
          <w:color w:val="auto"/>
          <w:spacing w:val="2"/>
          <w:w w:val="100"/>
          <w:highlight w:val="none"/>
          <w:lang w:eastAsia="zh-CN"/>
        </w:rPr>
      </w:pPr>
      <w:r>
        <w:rPr>
          <w:rFonts w:ascii="仿宋_GB2312" w:eastAsia="仿宋_GB2312" w:hAnsi="仿宋_GB2312" w:cs="仿宋_GB2312" w:hint="eastAsia"/>
          <w:color w:val="auto"/>
          <w:w w:val="100"/>
          <w:highlight w:val="none"/>
          <w:lang w:eastAsia="zh-CN"/>
        </w:rPr>
        <w:t>双边协商成交价格（含价格形成机制）由双方在合同中协商确定。</w:t>
      </w:r>
    </w:p>
    <w:p>
      <w:pPr>
        <w:pStyle w:val="BodyText"/>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2"/>
        <w:rPr>
          <w:rFonts w:ascii="仿宋_GB2312" w:eastAsia="仿宋_GB2312" w:hAnsi="仿宋_GB2312" w:cs="仿宋_GB2312"/>
          <w:color w:val="auto"/>
          <w:spacing w:val="2"/>
          <w:w w:val="100"/>
          <w:highlight w:val="none"/>
          <w:lang w:eastAsia="zh-CN"/>
        </w:rPr>
      </w:pPr>
      <w:r>
        <w:rPr>
          <w:rFonts w:ascii="仿宋_GB2312" w:eastAsia="仿宋_GB2312" w:hAnsi="仿宋_GB2312" w:cs="仿宋_GB2312" w:hint="eastAsia"/>
          <w:color w:val="auto"/>
          <w:spacing w:val="2"/>
          <w:w w:val="100"/>
          <w:highlight w:val="none"/>
          <w:lang w:eastAsia="zh-CN"/>
        </w:rPr>
        <w:t>4.2.2集中交易</w:t>
      </w:r>
    </w:p>
    <w:p>
      <w:pPr>
        <w:pStyle w:val="BodyText"/>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3"/>
        <w:rPr>
          <w:rFonts w:ascii="仿宋_GB2312" w:eastAsia="仿宋_GB2312" w:hAnsi="仿宋_GB2312" w:cs="仿宋_GB2312"/>
          <w:color w:val="auto"/>
          <w:w w:val="100"/>
          <w:highlight w:val="none"/>
          <w:lang w:eastAsia="zh-CN"/>
        </w:rPr>
      </w:pPr>
      <w:r>
        <w:rPr>
          <w:rFonts w:ascii="仿宋_GB2312" w:eastAsia="仿宋_GB2312" w:hAnsi="仿宋_GB2312" w:cs="仿宋_GB2312" w:hint="eastAsia"/>
          <w:color w:val="auto"/>
          <w:w w:val="100"/>
          <w:highlight w:val="none"/>
          <w:lang w:eastAsia="zh-CN"/>
        </w:rPr>
        <w:t>4.2.2.1集</w:t>
      </w:r>
      <w:r>
        <w:rPr>
          <w:rFonts w:ascii="仿宋_GB2312" w:eastAsia="仿宋_GB2312" w:hAnsi="仿宋_GB2312" w:cs="仿宋_GB2312" w:hint="eastAsia"/>
          <w:color w:val="auto"/>
          <w:spacing w:val="2"/>
          <w:w w:val="100"/>
          <w:highlight w:val="none"/>
          <w:lang w:eastAsia="zh-CN"/>
        </w:rPr>
        <w:t>中</w:t>
      </w:r>
      <w:r>
        <w:rPr>
          <w:rFonts w:ascii="仿宋_GB2312" w:eastAsia="仿宋_GB2312" w:hAnsi="仿宋_GB2312" w:cs="仿宋_GB2312" w:hint="eastAsia"/>
          <w:color w:val="auto"/>
          <w:w w:val="100"/>
          <w:highlight w:val="none"/>
          <w:lang w:eastAsia="zh-CN"/>
        </w:rPr>
        <w:t>竞价</w:t>
      </w:r>
    </w:p>
    <w:p>
      <w:pPr>
        <w:pStyle w:val="BodyText"/>
        <w:pageBreakBefore w:val="0"/>
        <w:kinsoku/>
        <w:wordWrap/>
        <w:overflowPunct/>
        <w:topLinePunct w:val="0"/>
        <w:autoSpaceDE/>
        <w:autoSpaceDN/>
        <w:bidi w:val="0"/>
        <w:adjustRightInd/>
        <w:spacing w:line="560" w:lineRule="exact"/>
        <w:ind w:left="0" w:right="0" w:firstLine="640" w:firstLineChars="200"/>
        <w:jc w:val="both"/>
        <w:textAlignment w:val="auto"/>
        <w:rPr>
          <w:rFonts w:ascii="仿宋_GB2312" w:eastAsia="仿宋_GB2312" w:hAnsi="仿宋_GB2312" w:cs="仿宋_GB2312" w:hint="eastAsia"/>
          <w:color w:val="auto"/>
          <w:w w:val="100"/>
          <w:highlight w:val="none"/>
          <w:lang w:eastAsia="zh-CN"/>
        </w:rPr>
      </w:pPr>
      <w:r>
        <w:rPr>
          <w:rFonts w:ascii="仿宋_GB2312" w:eastAsia="仿宋_GB2312" w:hAnsi="仿宋_GB2312" w:cs="仿宋_GB2312" w:hint="eastAsia"/>
          <w:color w:val="auto"/>
          <w:w w:val="100"/>
          <w:highlight w:val="none"/>
          <w:lang w:eastAsia="zh-CN"/>
        </w:rPr>
        <w:t>集中竞价采用高低匹配的价格形成机制，将买方申报按价格由高到低排序、卖方申报按价格由低到高排序，当价格相同时以申报时间优先的原则排序，依次配对形成交易对。</w:t>
      </w:r>
    </w:p>
    <w:p>
      <w:pPr>
        <w:pStyle w:val="BodyText"/>
        <w:pageBreakBefore w:val="0"/>
        <w:kinsoku/>
        <w:wordWrap/>
        <w:overflowPunct/>
        <w:topLinePunct w:val="0"/>
        <w:autoSpaceDE/>
        <w:autoSpaceDN/>
        <w:bidi w:val="0"/>
        <w:adjustRightInd/>
        <w:spacing w:line="560" w:lineRule="exact"/>
        <w:ind w:left="0" w:right="0" w:firstLine="640" w:firstLineChars="200"/>
        <w:jc w:val="both"/>
        <w:textAlignment w:val="auto"/>
        <w:rPr>
          <w:rFonts w:ascii="仿宋_GB2312" w:eastAsia="仿宋_GB2312" w:hAnsi="仿宋_GB2312" w:cs="仿宋_GB2312" w:hint="eastAsia"/>
          <w:color w:val="auto"/>
          <w:w w:val="100"/>
          <w:highlight w:val="none"/>
          <w:lang w:eastAsia="zh-CN"/>
        </w:rPr>
      </w:pPr>
      <w:r>
        <w:rPr>
          <w:rFonts w:ascii="仿宋_GB2312" w:eastAsia="仿宋_GB2312" w:hAnsi="仿宋_GB2312" w:cs="仿宋_GB2312" w:hint="eastAsia"/>
          <w:color w:val="auto"/>
          <w:w w:val="100"/>
          <w:highlight w:val="none"/>
          <w:lang w:eastAsia="zh-CN"/>
        </w:rPr>
        <w:t>交易对价差=买方申报价格–卖方申报价格</w:t>
      </w:r>
    </w:p>
    <w:p>
      <w:pPr>
        <w:pStyle w:val="BodyText"/>
        <w:pageBreakBefore w:val="0"/>
        <w:kinsoku/>
        <w:wordWrap/>
        <w:overflowPunct/>
        <w:topLinePunct w:val="0"/>
        <w:autoSpaceDE/>
        <w:autoSpaceDN/>
        <w:bidi w:val="0"/>
        <w:adjustRightInd/>
        <w:spacing w:line="560" w:lineRule="exact"/>
        <w:ind w:left="0" w:right="0" w:firstLine="640" w:firstLineChars="200"/>
        <w:jc w:val="both"/>
        <w:textAlignment w:val="auto"/>
        <w:rPr>
          <w:rFonts w:ascii="仿宋_GB2312" w:eastAsia="仿宋_GB2312" w:hAnsi="仿宋_GB2312" w:cs="仿宋_GB2312" w:hint="eastAsia"/>
          <w:color w:val="auto"/>
          <w:w w:val="100"/>
          <w:highlight w:val="none"/>
          <w:lang w:eastAsia="zh-CN"/>
        </w:rPr>
      </w:pPr>
      <w:r>
        <w:rPr>
          <w:rFonts w:ascii="仿宋_GB2312" w:eastAsia="仿宋_GB2312" w:hAnsi="仿宋_GB2312" w:cs="仿宋_GB2312" w:hint="eastAsia"/>
          <w:color w:val="auto"/>
          <w:w w:val="100"/>
          <w:highlight w:val="none"/>
          <w:lang w:eastAsia="zh-CN"/>
        </w:rPr>
        <w:t>交易对价差为正值或零时成交，价差大的交易对优先成交；交易对价差相同时，申报时间较早的优先成交，申报时间以系统记录时间为准，当交易对价差小于零时结束匹配。当交易对价差、申报时间均相同时，根据经营主体申报电量等比例出清。</w:t>
      </w:r>
    </w:p>
    <w:p>
      <w:pPr>
        <w:pStyle w:val="BodyText"/>
        <w:keepNext w:val="0"/>
        <w:keepLines w:val="0"/>
        <w:pageBreakBefore w:val="0"/>
        <w:widowControl w:val="0"/>
        <w:tabs>
          <w:tab w:val="left" w:pos="1380"/>
        </w:tabs>
        <w:kinsoku/>
        <w:wordWrap/>
        <w:overflowPunct/>
        <w:topLinePunct w:val="0"/>
        <w:autoSpaceDE/>
        <w:autoSpaceDN/>
        <w:bidi w:val="0"/>
        <w:adjustRightInd/>
        <w:snapToGrid/>
        <w:spacing w:line="560" w:lineRule="exact"/>
        <w:ind w:left="0" w:right="0" w:firstLine="640" w:firstLineChars="200"/>
        <w:jc w:val="both"/>
        <w:textAlignment w:val="auto"/>
        <w:outlineLvl w:val="9"/>
        <w:rPr>
          <w:rFonts w:ascii="仿宋_GB2312" w:eastAsia="仿宋_GB2312" w:hAnsi="仿宋_GB2312" w:cs="仿宋_GB2312" w:hint="eastAsia"/>
          <w:color w:val="auto"/>
          <w:w w:val="100"/>
          <w:highlight w:val="none"/>
          <w:lang w:val="en-US" w:eastAsia="zh-CN"/>
        </w:rPr>
      </w:pPr>
      <w:r>
        <w:rPr>
          <w:rFonts w:ascii="仿宋_GB2312" w:eastAsia="仿宋_GB2312" w:hAnsi="仿宋_GB2312" w:cs="仿宋_GB2312" w:hint="eastAsia"/>
          <w:color w:val="auto"/>
          <w:w w:val="100"/>
          <w:highlight w:val="none"/>
          <w:lang w:eastAsia="zh-CN"/>
        </w:rPr>
        <w:t>各成交对的成交价格=卖方申报价格+（买方申报价格-卖方申报价格）*K</w:t>
      </w:r>
      <w:r>
        <w:rPr>
          <w:rFonts w:ascii="仿宋_GB2312" w:eastAsia="仿宋_GB2312" w:hAnsi="仿宋_GB2312" w:cs="仿宋_GB2312" w:hint="eastAsia"/>
          <w:color w:val="auto"/>
          <w:w w:val="100"/>
          <w:highlight w:val="none"/>
          <w:vertAlign w:val="subscript"/>
          <w:lang w:eastAsia="zh-CN"/>
        </w:rPr>
        <w:t>竞价系数</w:t>
      </w:r>
      <w:r>
        <w:rPr>
          <w:rFonts w:ascii="仿宋_GB2312" w:eastAsia="仿宋_GB2312" w:hAnsi="仿宋_GB2312" w:cs="仿宋_GB2312" w:hint="eastAsia"/>
          <w:color w:val="auto"/>
          <w:w w:val="100"/>
          <w:highlight w:val="none"/>
          <w:lang w:eastAsia="zh-CN"/>
        </w:rPr>
        <w:t>，其中K</w:t>
      </w:r>
      <w:r>
        <w:rPr>
          <w:rFonts w:ascii="仿宋_GB2312" w:eastAsia="仿宋_GB2312" w:hAnsi="仿宋_GB2312" w:cs="仿宋_GB2312" w:hint="eastAsia"/>
          <w:color w:val="auto"/>
          <w:w w:val="100"/>
          <w:highlight w:val="none"/>
          <w:vertAlign w:val="subscript"/>
          <w:lang w:eastAsia="zh-CN"/>
        </w:rPr>
        <w:t>竞价系数</w:t>
      </w:r>
      <w:r>
        <w:rPr>
          <w:rFonts w:ascii="仿宋_GB2312" w:eastAsia="仿宋_GB2312" w:hAnsi="仿宋_GB2312" w:cs="仿宋_GB2312" w:hint="eastAsia"/>
          <w:color w:val="auto"/>
          <w:w w:val="100"/>
          <w:highlight w:val="none"/>
          <w:lang w:eastAsia="zh-CN"/>
        </w:rPr>
        <w:t>取值</w:t>
      </w:r>
      <w:r>
        <w:rPr>
          <w:rFonts w:ascii="仿宋_GB2312" w:eastAsia="仿宋_GB2312" w:hAnsi="仿宋_GB2312" w:cs="仿宋_GB2312" w:hint="eastAsia"/>
          <w:color w:val="auto"/>
          <w:w w:val="100"/>
          <w:highlight w:val="none"/>
          <w:lang w:val="en-US" w:eastAsia="zh-CN"/>
        </w:rPr>
        <w:t>按</w:t>
      </w:r>
      <w:r>
        <w:rPr>
          <w:rStyle w:val="Strong"/>
          <w:rFonts w:ascii="仿宋_GB2312" w:eastAsia="仿宋_GB2312" w:hAnsi="仿宋_GB2312" w:cs="仿宋_GB2312" w:hint="eastAsia"/>
          <w:b w:val="0"/>
          <w:color w:val="auto"/>
          <w:sz w:val="32"/>
          <w:szCs w:val="32"/>
          <w:highlight w:val="none"/>
        </w:rPr>
        <w:t>省内年度交易安排等相关政策执行</w:t>
      </w:r>
      <w:r>
        <w:rPr>
          <w:rFonts w:ascii="仿宋_GB2312" w:eastAsia="仿宋_GB2312" w:hAnsi="仿宋_GB2312" w:cs="仿宋_GB2312" w:hint="eastAsia"/>
          <w:color w:val="auto"/>
          <w:w w:val="100"/>
          <w:highlight w:val="none"/>
          <w:lang w:eastAsia="zh-CN"/>
        </w:rPr>
        <w:t>。</w:t>
      </w:r>
    </w:p>
    <w:p>
      <w:pPr>
        <w:pStyle w:val="BodyText"/>
        <w:keepNext w:val="0"/>
        <w:keepLines w:val="0"/>
        <w:pageBreakBefore w:val="0"/>
        <w:widowControl w:val="0"/>
        <w:tabs>
          <w:tab w:val="left" w:pos="1380"/>
        </w:tabs>
        <w:kinsoku/>
        <w:wordWrap/>
        <w:overflowPunct/>
        <w:topLinePunct w:val="0"/>
        <w:autoSpaceDE/>
        <w:autoSpaceDN/>
        <w:bidi w:val="0"/>
        <w:adjustRightInd/>
        <w:snapToGrid/>
        <w:spacing w:line="560" w:lineRule="exact"/>
        <w:ind w:left="0" w:right="0" w:firstLine="640" w:firstLineChars="200"/>
        <w:jc w:val="both"/>
        <w:textAlignment w:val="auto"/>
        <w:outlineLvl w:val="3"/>
        <w:rPr>
          <w:rFonts w:ascii="仿宋_GB2312" w:eastAsia="仿宋_GB2312" w:hAnsi="仿宋_GB2312" w:cs="仿宋_GB2312"/>
          <w:color w:val="auto"/>
          <w:spacing w:val="1"/>
          <w:w w:val="100"/>
          <w:highlight w:val="none"/>
          <w:lang w:eastAsia="zh-CN"/>
        </w:rPr>
      </w:pPr>
      <w:r>
        <w:rPr>
          <w:rFonts w:ascii="仿宋_GB2312" w:eastAsia="仿宋_GB2312" w:hAnsi="仿宋_GB2312" w:cs="仿宋_GB2312" w:hint="eastAsia"/>
          <w:color w:val="auto"/>
          <w:spacing w:val="1"/>
          <w:w w:val="100"/>
          <w:highlight w:val="none"/>
          <w:lang w:eastAsia="zh-CN"/>
        </w:rPr>
        <w:t>4</w:t>
      </w:r>
      <w:r>
        <w:rPr>
          <w:rFonts w:ascii="仿宋_GB2312" w:eastAsia="仿宋_GB2312" w:hAnsi="仿宋_GB2312" w:cs="仿宋_GB2312" w:hint="eastAsia"/>
          <w:color w:val="auto"/>
          <w:spacing w:val="-1"/>
          <w:w w:val="100"/>
          <w:highlight w:val="none"/>
          <w:lang w:eastAsia="zh-CN"/>
        </w:rPr>
        <w:t>.2.</w:t>
      </w:r>
      <w:r>
        <w:rPr>
          <w:rFonts w:ascii="仿宋_GB2312" w:eastAsia="仿宋_GB2312" w:hAnsi="仿宋_GB2312" w:cs="仿宋_GB2312" w:hint="eastAsia"/>
          <w:color w:val="auto"/>
          <w:w w:val="100"/>
          <w:highlight w:val="none"/>
          <w:lang w:eastAsia="zh-CN"/>
        </w:rPr>
        <w:t>2.2滚动撮合</w:t>
      </w:r>
    </w:p>
    <w:p>
      <w:pPr>
        <w:pStyle w:val="BodyText"/>
        <w:pageBreakBefore w:val="0"/>
        <w:kinsoku/>
        <w:wordWrap/>
        <w:overflowPunct/>
        <w:topLinePunct w:val="0"/>
        <w:autoSpaceDE/>
        <w:autoSpaceDN/>
        <w:bidi w:val="0"/>
        <w:adjustRightInd/>
        <w:spacing w:line="560" w:lineRule="exact"/>
        <w:ind w:left="0" w:right="0" w:firstLine="640" w:firstLineChars="200"/>
        <w:jc w:val="both"/>
        <w:textAlignment w:val="auto"/>
        <w:rPr>
          <w:rFonts w:ascii="仿宋_GB2312" w:eastAsia="仿宋_GB2312" w:hAnsi="仿宋_GB2312" w:cs="仿宋_GB2312" w:hint="eastAsia"/>
          <w:color w:val="auto"/>
          <w:w w:val="100"/>
          <w:highlight w:val="none"/>
          <w:lang w:eastAsia="zh-CN"/>
        </w:rPr>
      </w:pPr>
      <w:r>
        <w:rPr>
          <w:rFonts w:ascii="仿宋_GB2312" w:eastAsia="仿宋_GB2312" w:hAnsi="仿宋_GB2312" w:cs="仿宋_GB2312" w:hint="eastAsia"/>
          <w:color w:val="auto"/>
          <w:w w:val="100"/>
          <w:highlight w:val="none"/>
          <w:lang w:eastAsia="zh-CN"/>
        </w:rPr>
        <w:t>交易系统按不同标的进行即时自动匹配撮合，对于提交的买方申报，将未成交的卖方申报按价格由低到高排序，依次与之配对形成交易对。对于提交的卖方申报，将未成交的买方申报按价格由高到低排序，依次与之配对形成交易对。</w:t>
      </w:r>
    </w:p>
    <w:p>
      <w:pPr>
        <w:pStyle w:val="BodyText"/>
        <w:pageBreakBefore w:val="0"/>
        <w:kinsoku/>
        <w:wordWrap/>
        <w:overflowPunct/>
        <w:topLinePunct w:val="0"/>
        <w:autoSpaceDE/>
        <w:autoSpaceDN/>
        <w:bidi w:val="0"/>
        <w:adjustRightInd/>
        <w:spacing w:line="560" w:lineRule="exact"/>
        <w:ind w:left="0" w:right="0" w:firstLine="640" w:firstLineChars="200"/>
        <w:jc w:val="both"/>
        <w:textAlignment w:val="auto"/>
        <w:rPr>
          <w:rFonts w:ascii="仿宋_GB2312" w:eastAsia="仿宋_GB2312" w:hAnsi="仿宋_GB2312" w:cs="仿宋_GB2312" w:hint="eastAsia"/>
          <w:color w:val="auto"/>
          <w:w w:val="100"/>
          <w:highlight w:val="none"/>
          <w:lang w:eastAsia="zh-CN"/>
        </w:rPr>
      </w:pPr>
      <w:r>
        <w:rPr>
          <w:rFonts w:ascii="仿宋_GB2312" w:eastAsia="仿宋_GB2312" w:hAnsi="仿宋_GB2312" w:cs="仿宋_GB2312" w:hint="eastAsia"/>
          <w:color w:val="auto"/>
          <w:w w:val="100"/>
          <w:highlight w:val="none"/>
          <w:lang w:eastAsia="zh-CN"/>
        </w:rPr>
        <w:t>交易对价差=买方申报价格–卖方申报价格</w:t>
      </w:r>
    </w:p>
    <w:p>
      <w:pPr>
        <w:pStyle w:val="BodyText"/>
        <w:pageBreakBefore w:val="0"/>
        <w:kinsoku/>
        <w:wordWrap/>
        <w:overflowPunct/>
        <w:topLinePunct w:val="0"/>
        <w:autoSpaceDE/>
        <w:autoSpaceDN/>
        <w:bidi w:val="0"/>
        <w:adjustRightInd/>
        <w:spacing w:line="560" w:lineRule="exact"/>
        <w:ind w:left="0" w:right="0" w:firstLine="640" w:firstLineChars="200"/>
        <w:jc w:val="both"/>
        <w:textAlignment w:val="auto"/>
        <w:rPr>
          <w:rFonts w:ascii="仿宋_GB2312" w:eastAsia="仿宋_GB2312" w:hAnsi="仿宋_GB2312" w:cs="仿宋_GB2312" w:hint="eastAsia"/>
          <w:color w:val="auto"/>
          <w:w w:val="100"/>
          <w:highlight w:val="none"/>
          <w:lang w:eastAsia="zh-CN"/>
        </w:rPr>
      </w:pPr>
      <w:r>
        <w:rPr>
          <w:rFonts w:ascii="仿宋_GB2312" w:eastAsia="仿宋_GB2312" w:hAnsi="仿宋_GB2312" w:cs="仿宋_GB2312" w:hint="eastAsia"/>
          <w:color w:val="auto"/>
          <w:w w:val="100"/>
          <w:highlight w:val="none"/>
          <w:lang w:eastAsia="zh-CN"/>
        </w:rPr>
        <w:t>当交易对价差为负值时不能成交，交易对价差为正值或零时成交，价差大的交易对优先成交；交易对价差相同时，申报时间较早的优先成交，申报时间以系统记录时间为准。当交易对价差、申报时间均相同时，根据经营主体申报电量等比例出清。</w:t>
      </w:r>
    </w:p>
    <w:p>
      <w:pPr>
        <w:pStyle w:val="BodyText"/>
        <w:pageBreakBefore w:val="0"/>
        <w:kinsoku/>
        <w:wordWrap/>
        <w:overflowPunct/>
        <w:topLinePunct w:val="0"/>
        <w:autoSpaceDE/>
        <w:autoSpaceDN/>
        <w:bidi w:val="0"/>
        <w:adjustRightInd/>
        <w:spacing w:line="560" w:lineRule="exact"/>
        <w:ind w:left="0" w:right="0" w:firstLine="640" w:firstLineChars="200"/>
        <w:jc w:val="both"/>
        <w:textAlignment w:val="auto"/>
        <w:rPr>
          <w:rFonts w:ascii="仿宋_GB2312" w:eastAsia="仿宋_GB2312" w:hAnsi="仿宋_GB2312" w:cs="仿宋_GB2312" w:hint="eastAsia"/>
          <w:color w:val="auto"/>
          <w:w w:val="100"/>
          <w:highlight w:val="none"/>
          <w:lang w:eastAsia="zh-CN"/>
        </w:rPr>
      </w:pPr>
      <w:r>
        <w:rPr>
          <w:rFonts w:ascii="仿宋_GB2312" w:eastAsia="仿宋_GB2312" w:hAnsi="仿宋_GB2312" w:cs="仿宋_GB2312" w:hint="eastAsia"/>
          <w:color w:val="auto"/>
          <w:w w:val="100"/>
          <w:highlight w:val="none"/>
          <w:lang w:eastAsia="zh-CN"/>
        </w:rPr>
        <w:t>滚动撮合阶段可成交交易对的成交价格计算方法如下：</w:t>
      </w:r>
    </w:p>
    <w:p>
      <w:pPr>
        <w:pStyle w:val="BodyText"/>
        <w:pageBreakBefore w:val="0"/>
        <w:kinsoku/>
        <w:wordWrap/>
        <w:overflowPunct/>
        <w:topLinePunct w:val="0"/>
        <w:autoSpaceDE/>
        <w:autoSpaceDN/>
        <w:bidi w:val="0"/>
        <w:adjustRightInd/>
        <w:spacing w:line="560" w:lineRule="exact"/>
        <w:ind w:left="0" w:right="0" w:firstLine="640" w:firstLineChars="200"/>
        <w:jc w:val="both"/>
        <w:textAlignment w:val="auto"/>
        <w:rPr>
          <w:rFonts w:ascii="仿宋_GB2312" w:eastAsia="仿宋_GB2312" w:hAnsi="仿宋_GB2312" w:cs="仿宋_GB2312" w:hint="eastAsia"/>
          <w:color w:val="auto"/>
          <w:w w:val="100"/>
          <w:highlight w:val="none"/>
          <w:lang w:eastAsia="zh-CN"/>
        </w:rPr>
      </w:pPr>
      <w:r>
        <w:rPr>
          <w:rFonts w:ascii="仿宋_GB2312" w:eastAsia="仿宋_GB2312" w:hAnsi="仿宋_GB2312" w:cs="仿宋_GB2312" w:hint="eastAsia"/>
          <w:color w:val="auto"/>
          <w:w w:val="100"/>
          <w:highlight w:val="none"/>
          <w:lang w:eastAsia="zh-CN"/>
        </w:rPr>
        <w:t>（1）前一笔交易成交价格大于等于买方申报价格时，成交价格为买方申报价格；</w:t>
      </w:r>
    </w:p>
    <w:p>
      <w:pPr>
        <w:pStyle w:val="BodyText"/>
        <w:pageBreakBefore w:val="0"/>
        <w:kinsoku/>
        <w:wordWrap/>
        <w:overflowPunct/>
        <w:topLinePunct w:val="0"/>
        <w:autoSpaceDE/>
        <w:autoSpaceDN/>
        <w:bidi w:val="0"/>
        <w:adjustRightInd/>
        <w:spacing w:line="560" w:lineRule="exact"/>
        <w:ind w:left="0" w:right="0" w:firstLine="640" w:firstLineChars="200"/>
        <w:jc w:val="both"/>
        <w:textAlignment w:val="auto"/>
        <w:rPr>
          <w:rFonts w:ascii="仿宋_GB2312" w:eastAsia="仿宋_GB2312" w:hAnsi="仿宋_GB2312" w:cs="仿宋_GB2312" w:hint="eastAsia"/>
          <w:color w:val="auto"/>
          <w:w w:val="100"/>
          <w:highlight w:val="none"/>
          <w:lang w:eastAsia="zh-CN"/>
        </w:rPr>
      </w:pPr>
      <w:r>
        <w:rPr>
          <w:rFonts w:ascii="仿宋_GB2312" w:eastAsia="仿宋_GB2312" w:hAnsi="仿宋_GB2312" w:cs="仿宋_GB2312" w:hint="eastAsia"/>
          <w:color w:val="auto"/>
          <w:w w:val="100"/>
          <w:highlight w:val="none"/>
          <w:lang w:eastAsia="zh-CN"/>
        </w:rPr>
        <w:t>（2）前一笔交易成交价格小于等于卖方申报价格时，成交价格为卖方申报价格；</w:t>
      </w:r>
    </w:p>
    <w:p>
      <w:pPr>
        <w:pStyle w:val="BodyText"/>
        <w:pageBreakBefore w:val="0"/>
        <w:kinsoku/>
        <w:wordWrap/>
        <w:overflowPunct/>
        <w:topLinePunct w:val="0"/>
        <w:autoSpaceDE/>
        <w:autoSpaceDN/>
        <w:bidi w:val="0"/>
        <w:adjustRightInd/>
        <w:spacing w:line="560" w:lineRule="exact"/>
        <w:ind w:left="0" w:right="0" w:firstLine="640" w:firstLineChars="200"/>
        <w:jc w:val="both"/>
        <w:textAlignment w:val="auto"/>
        <w:rPr>
          <w:rFonts w:ascii="仿宋_GB2312" w:eastAsia="仿宋_GB2312" w:hAnsi="仿宋_GB2312" w:cs="仿宋_GB2312" w:hint="eastAsia"/>
          <w:color w:val="auto"/>
          <w:w w:val="100"/>
          <w:highlight w:val="none"/>
          <w:lang w:eastAsia="zh-CN"/>
        </w:rPr>
      </w:pPr>
      <w:r>
        <w:rPr>
          <w:rFonts w:ascii="仿宋_GB2312" w:eastAsia="仿宋_GB2312" w:hAnsi="仿宋_GB2312" w:cs="仿宋_GB2312" w:hint="eastAsia"/>
          <w:color w:val="auto"/>
          <w:w w:val="100"/>
          <w:highlight w:val="none"/>
          <w:lang w:eastAsia="zh-CN"/>
        </w:rPr>
        <w:t>（3）前一笔交易成交价格小于买方申报价格且大于卖方申报价格时，成交价格为前一笔交易成交价格；</w:t>
      </w:r>
    </w:p>
    <w:p>
      <w:pPr>
        <w:pStyle w:val="BodyText"/>
        <w:keepNext w:val="0"/>
        <w:keepLines w:val="0"/>
        <w:pageBreakBefore w:val="0"/>
        <w:widowControl w:val="0"/>
        <w:tabs>
          <w:tab w:val="left" w:pos="1380"/>
        </w:tabs>
        <w:kinsoku/>
        <w:wordWrap/>
        <w:overflowPunct/>
        <w:topLinePunct w:val="0"/>
        <w:autoSpaceDE/>
        <w:autoSpaceDN/>
        <w:bidi w:val="0"/>
        <w:adjustRightInd/>
        <w:snapToGrid/>
        <w:spacing w:line="560" w:lineRule="exact"/>
        <w:ind w:left="0" w:right="0" w:firstLine="640" w:firstLineChars="200"/>
        <w:jc w:val="both"/>
        <w:textAlignment w:val="auto"/>
        <w:outlineLvl w:val="9"/>
        <w:rPr>
          <w:rFonts w:ascii="仿宋_GB2312" w:eastAsia="仿宋_GB2312" w:hAnsi="仿宋_GB2312" w:cs="仿宋_GB2312" w:hint="eastAsia"/>
          <w:color w:val="auto"/>
          <w:w w:val="100"/>
          <w:highlight w:val="none"/>
          <w:lang w:eastAsia="zh-CN"/>
        </w:rPr>
      </w:pPr>
      <w:r>
        <w:rPr>
          <w:rFonts w:ascii="仿宋_GB2312" w:eastAsia="仿宋_GB2312" w:hAnsi="仿宋_GB2312" w:cs="仿宋_GB2312" w:hint="eastAsia"/>
          <w:color w:val="auto"/>
          <w:w w:val="100"/>
          <w:highlight w:val="none"/>
          <w:lang w:eastAsia="zh-CN"/>
        </w:rPr>
        <w:t>（4）集中竞价成交价格作为滚动撮合阶段第一笔交易成交价格。当集中竞价阶段未形成成交价格时，滚动撮合阶段首个可成交交易对的买方申报价格和卖方申报价格的算术平均值作为滚动撮合阶段第一笔交易成交价格。</w:t>
      </w:r>
    </w:p>
    <w:p>
      <w:pPr>
        <w:pStyle w:val="BodyText"/>
        <w:keepNext w:val="0"/>
        <w:keepLines w:val="0"/>
        <w:pageBreakBefore w:val="0"/>
        <w:widowControl w:val="0"/>
        <w:tabs>
          <w:tab w:val="left" w:pos="1380"/>
        </w:tabs>
        <w:kinsoku/>
        <w:wordWrap/>
        <w:overflowPunct/>
        <w:topLinePunct w:val="0"/>
        <w:autoSpaceDE/>
        <w:autoSpaceDN/>
        <w:bidi w:val="0"/>
        <w:adjustRightInd/>
        <w:snapToGrid/>
        <w:spacing w:line="560" w:lineRule="exact"/>
        <w:ind w:left="0" w:right="0" w:firstLine="640" w:firstLineChars="200"/>
        <w:jc w:val="both"/>
        <w:textAlignment w:val="auto"/>
        <w:outlineLvl w:val="3"/>
        <w:rPr>
          <w:rFonts w:ascii="仿宋_GB2312" w:eastAsia="仿宋_GB2312" w:hAnsi="仿宋_GB2312" w:cs="仿宋_GB2312"/>
          <w:color w:val="auto"/>
          <w:w w:val="100"/>
          <w:highlight w:val="none"/>
          <w:lang w:eastAsia="zh-CN"/>
        </w:rPr>
      </w:pPr>
      <w:r>
        <w:rPr>
          <w:rFonts w:ascii="仿宋_GB2312" w:eastAsia="仿宋_GB2312" w:hAnsi="仿宋_GB2312" w:cs="仿宋_GB2312" w:hint="eastAsia"/>
          <w:color w:val="auto"/>
          <w:spacing w:val="1"/>
          <w:w w:val="100"/>
          <w:highlight w:val="none"/>
          <w:lang w:eastAsia="zh-CN"/>
        </w:rPr>
        <w:t>4</w:t>
      </w:r>
      <w:r>
        <w:rPr>
          <w:rFonts w:ascii="仿宋_GB2312" w:eastAsia="仿宋_GB2312" w:hAnsi="仿宋_GB2312" w:cs="仿宋_GB2312" w:hint="eastAsia"/>
          <w:color w:val="auto"/>
          <w:spacing w:val="-1"/>
          <w:w w:val="100"/>
          <w:highlight w:val="none"/>
          <w:lang w:eastAsia="zh-CN"/>
        </w:rPr>
        <w:t>.2.2.</w:t>
      </w:r>
      <w:r>
        <w:rPr>
          <w:rFonts w:ascii="仿宋_GB2312" w:eastAsia="仿宋_GB2312" w:hAnsi="仿宋_GB2312" w:cs="仿宋_GB2312" w:hint="eastAsia"/>
          <w:color w:val="auto"/>
          <w:w w:val="100"/>
          <w:highlight w:val="none"/>
          <w:lang w:eastAsia="zh-CN"/>
        </w:rPr>
        <w:t>3</w:t>
      </w:r>
      <w:r>
        <w:rPr>
          <w:rFonts w:ascii="仿宋_GB2312" w:eastAsia="仿宋_GB2312" w:hAnsi="仿宋_GB2312" w:cs="仿宋_GB2312" w:hint="eastAsia"/>
          <w:color w:val="auto"/>
          <w:spacing w:val="2"/>
          <w:w w:val="100"/>
          <w:highlight w:val="none"/>
          <w:lang w:eastAsia="zh-CN"/>
        </w:rPr>
        <w:t>挂</w:t>
      </w:r>
      <w:r>
        <w:rPr>
          <w:rFonts w:ascii="仿宋_GB2312" w:eastAsia="仿宋_GB2312" w:hAnsi="仿宋_GB2312" w:cs="仿宋_GB2312" w:hint="eastAsia"/>
          <w:color w:val="auto"/>
          <w:w w:val="100"/>
          <w:highlight w:val="none"/>
          <w:lang w:eastAsia="zh-CN"/>
        </w:rPr>
        <w:t>牌交易</w:t>
      </w:r>
    </w:p>
    <w:p>
      <w:pPr>
        <w:pStyle w:val="BodyText"/>
        <w:pageBreakBefore w:val="0"/>
        <w:kinsoku/>
        <w:wordWrap/>
        <w:overflowPunct/>
        <w:topLinePunct w:val="0"/>
        <w:autoSpaceDE/>
        <w:autoSpaceDN/>
        <w:bidi w:val="0"/>
        <w:adjustRightInd/>
        <w:spacing w:line="560" w:lineRule="exact"/>
        <w:ind w:left="0" w:right="0" w:firstLine="640" w:firstLineChars="200"/>
        <w:jc w:val="both"/>
        <w:textAlignment w:val="auto"/>
        <w:rPr>
          <w:rFonts w:ascii="仿宋_GB2312" w:eastAsia="仿宋_GB2312" w:hAnsi="仿宋_GB2312" w:cs="仿宋_GB2312"/>
          <w:color w:val="auto"/>
          <w:w w:val="100"/>
          <w:highlight w:val="none"/>
          <w:lang w:eastAsia="zh-CN"/>
        </w:rPr>
      </w:pPr>
      <w:r>
        <w:rPr>
          <w:rFonts w:ascii="仿宋_GB2312" w:eastAsia="仿宋_GB2312" w:hAnsi="仿宋_GB2312" w:cs="仿宋_GB2312" w:hint="eastAsia"/>
          <w:color w:val="auto"/>
          <w:w w:val="100"/>
          <w:highlight w:val="none"/>
          <w:lang w:eastAsia="zh-CN"/>
        </w:rPr>
        <w:t>挂牌方将需求电量或者可提供电量的数量和价格等信息对外发布要约，若摘牌成功，挂牌方发布要约的价格即为该笔成交对的成交价格。其中电网代理购电</w:t>
      </w:r>
      <w:r>
        <w:rPr>
          <w:rFonts w:ascii="仿宋_GB2312" w:eastAsia="仿宋_GB2312" w:hAnsi="仿宋_GB2312" w:cs="仿宋_GB2312" w:hint="eastAsia"/>
          <w:color w:val="auto"/>
          <w:w w:val="100"/>
          <w:highlight w:val="none"/>
          <w:lang w:val="en-US" w:eastAsia="zh-CN"/>
        </w:rPr>
        <w:t>挂牌</w:t>
      </w:r>
      <w:r>
        <w:rPr>
          <w:rFonts w:ascii="仿宋_GB2312" w:eastAsia="仿宋_GB2312" w:hAnsi="仿宋_GB2312" w:cs="仿宋_GB2312" w:hint="eastAsia"/>
          <w:color w:val="auto"/>
          <w:w w:val="100"/>
          <w:highlight w:val="none"/>
          <w:lang w:eastAsia="zh-CN"/>
        </w:rPr>
        <w:t>交易以报量不报价方式、作为价格接受者参与市场出清。</w:t>
      </w:r>
    </w:p>
    <w:p>
      <w:pPr>
        <w:pStyle w:val="BodyText"/>
        <w:pageBreakBefore w:val="0"/>
        <w:kinsoku/>
        <w:wordWrap/>
        <w:overflowPunct/>
        <w:topLinePunct w:val="0"/>
        <w:autoSpaceDE/>
        <w:autoSpaceDN/>
        <w:bidi w:val="0"/>
        <w:adjustRightInd/>
        <w:spacing w:line="560" w:lineRule="exact"/>
        <w:ind w:left="0" w:right="0" w:firstLine="640" w:firstLineChars="200"/>
        <w:jc w:val="both"/>
        <w:textAlignment w:val="auto"/>
        <w:outlineLvl w:val="1"/>
        <w:rPr>
          <w:rFonts w:ascii="仿宋_GB2312" w:eastAsia="仿宋_GB2312" w:hAnsi="仿宋_GB2312" w:cs="仿宋_GB2312" w:hint="eastAsia"/>
          <w:color w:val="auto"/>
          <w:w w:val="100"/>
          <w:highlight w:val="none"/>
          <w:lang w:eastAsia="zh-CN"/>
        </w:rPr>
      </w:pPr>
      <w:r>
        <w:rPr>
          <w:rFonts w:ascii="仿宋_GB2312" w:eastAsia="仿宋_GB2312" w:hAnsi="仿宋_GB2312" w:cs="仿宋_GB2312" w:hint="eastAsia"/>
          <w:color w:val="auto"/>
          <w:w w:val="100"/>
          <w:highlight w:val="none"/>
          <w:lang w:eastAsia="zh-CN"/>
        </w:rPr>
        <w:t>4.3电网企业代理购电用户电价按海南省电网企业代理购电实施方案有关规定执行。</w:t>
      </w:r>
    </w:p>
    <w:p>
      <w:pPr>
        <w:pStyle w:val="BodyText"/>
        <w:spacing w:line="560" w:lineRule="exact"/>
        <w:ind w:firstLine="640" w:firstLineChars="200"/>
        <w:jc w:val="both"/>
        <w:outlineLvl w:val="1"/>
        <w:rPr>
          <w:rFonts w:ascii="仿宋_GB2312" w:eastAsia="仿宋_GB2312" w:hAnsi="仿宋_GB2312" w:cs="仿宋_GB2312" w:hint="eastAsia"/>
          <w:color w:val="auto"/>
          <w:highlight w:val="none"/>
          <w:lang w:val="en-US" w:eastAsia="zh-CN"/>
        </w:rPr>
      </w:pPr>
      <w:r>
        <w:rPr>
          <w:rFonts w:ascii="仿宋_GB2312" w:eastAsia="仿宋_GB2312" w:hAnsi="仿宋_GB2312" w:cs="仿宋_GB2312" w:hint="eastAsia"/>
          <w:color w:val="auto"/>
          <w:w w:val="100"/>
          <w:highlight w:val="none"/>
          <w:lang w:val="en-US" w:eastAsia="zh-CN"/>
        </w:rPr>
        <w:t>4.4</w:t>
      </w:r>
      <w:r>
        <w:rPr>
          <w:rFonts w:ascii="仿宋_GB2312" w:eastAsia="仿宋_GB2312" w:hAnsi="仿宋_GB2312" w:cs="仿宋_GB2312" w:hint="eastAsia"/>
          <w:color w:val="auto"/>
          <w:highlight w:val="none"/>
          <w:lang w:eastAsia="zh-CN"/>
        </w:rPr>
        <w:t>绿色电力的绿证价格不参与各类市场交易价格统计计算。</w:t>
      </w:r>
    </w:p>
    <w:p>
      <w:pPr>
        <w:pStyle w:val="BodyText"/>
        <w:pageBreakBefore w:val="0"/>
        <w:tabs>
          <w:tab w:val="left" w:pos="659"/>
        </w:tabs>
        <w:kinsoku/>
        <w:wordWrap/>
        <w:overflowPunct/>
        <w:topLinePunct w:val="0"/>
        <w:autoSpaceDE/>
        <w:autoSpaceDN/>
        <w:bidi w:val="0"/>
        <w:adjustRightInd/>
        <w:spacing w:line="560" w:lineRule="exact"/>
        <w:ind w:left="0" w:right="0" w:firstLine="640" w:firstLineChars="200"/>
        <w:jc w:val="both"/>
        <w:textAlignment w:val="auto"/>
        <w:outlineLvl w:val="0"/>
        <w:rPr>
          <w:rFonts w:ascii="黑体" w:eastAsia="黑体" w:hAnsi="黑体" w:cs="黑体" w:hint="eastAsia"/>
          <w:b w:val="0"/>
          <w:bCs w:val="0"/>
          <w:color w:val="auto"/>
          <w:w w:val="100"/>
          <w:highlight w:val="none"/>
          <w:lang w:eastAsia="zh-CN"/>
        </w:rPr>
      </w:pPr>
      <w:bookmarkStart w:id="18" w:name="_Toc27377"/>
      <w:r>
        <w:rPr>
          <w:rFonts w:ascii="黑体" w:eastAsia="黑体" w:hAnsi="黑体" w:cs="黑体" w:hint="eastAsia"/>
          <w:b w:val="0"/>
          <w:bCs w:val="0"/>
          <w:color w:val="auto"/>
          <w:w w:val="100"/>
          <w:highlight w:val="none"/>
          <w:lang w:eastAsia="zh-CN"/>
        </w:rPr>
        <w:t>5.</w:t>
      </w:r>
      <w:r>
        <w:rPr>
          <w:rFonts w:ascii="黑体" w:eastAsia="黑体" w:hAnsi="黑体" w:cs="黑体" w:hint="eastAsia"/>
          <w:b w:val="0"/>
          <w:bCs w:val="0"/>
          <w:color w:val="auto"/>
          <w:spacing w:val="1"/>
          <w:w w:val="100"/>
          <w:highlight w:val="none"/>
          <w:lang w:eastAsia="zh-CN"/>
        </w:rPr>
        <w:t>交</w:t>
      </w:r>
      <w:r>
        <w:rPr>
          <w:rFonts w:ascii="黑体" w:eastAsia="黑体" w:hAnsi="黑体" w:cs="黑体" w:hint="eastAsia"/>
          <w:b w:val="0"/>
          <w:bCs w:val="0"/>
          <w:color w:val="auto"/>
          <w:w w:val="100"/>
          <w:highlight w:val="none"/>
          <w:lang w:eastAsia="zh-CN"/>
        </w:rPr>
        <w:t>易</w:t>
      </w:r>
      <w:r>
        <w:rPr>
          <w:rFonts w:ascii="黑体" w:eastAsia="黑体" w:hAnsi="黑体" w:cs="黑体" w:hint="eastAsia"/>
          <w:b w:val="0"/>
          <w:bCs w:val="0"/>
          <w:color w:val="auto"/>
          <w:spacing w:val="1"/>
          <w:w w:val="100"/>
          <w:highlight w:val="none"/>
          <w:lang w:eastAsia="zh-CN"/>
        </w:rPr>
        <w:t>组织</w:t>
      </w:r>
      <w:bookmarkEnd w:id="18"/>
    </w:p>
    <w:p>
      <w:pPr>
        <w:pStyle w:val="BodyText"/>
        <w:pageBreakBefore w:val="0"/>
        <w:kinsoku/>
        <w:wordWrap/>
        <w:overflowPunct/>
        <w:topLinePunct w:val="0"/>
        <w:autoSpaceDE/>
        <w:autoSpaceDN/>
        <w:bidi w:val="0"/>
        <w:adjustRightInd/>
        <w:spacing w:line="560" w:lineRule="exact"/>
        <w:ind w:left="0" w:right="0" w:firstLine="640" w:firstLineChars="200"/>
        <w:jc w:val="both"/>
        <w:textAlignment w:val="auto"/>
        <w:outlineLvl w:val="1"/>
        <w:rPr>
          <w:rFonts w:ascii="仿宋_GB2312" w:eastAsia="仿宋_GB2312" w:hAnsi="仿宋_GB2312" w:cs="仿宋_GB2312"/>
          <w:b/>
          <w:bCs/>
          <w:color w:val="auto"/>
          <w:w w:val="100"/>
          <w:highlight w:val="none"/>
          <w:lang w:eastAsia="zh-CN"/>
        </w:rPr>
      </w:pPr>
      <w:r>
        <w:rPr>
          <w:rFonts w:ascii="仿宋_GB2312" w:eastAsia="仿宋_GB2312" w:hAnsi="仿宋_GB2312" w:cs="仿宋_GB2312" w:hint="eastAsia"/>
          <w:b/>
          <w:bCs/>
          <w:color w:val="auto"/>
          <w:w w:val="100"/>
          <w:highlight w:val="none"/>
          <w:lang w:eastAsia="zh-CN"/>
        </w:rPr>
        <w:t>5.1交易组织原则</w:t>
      </w:r>
    </w:p>
    <w:p>
      <w:pPr>
        <w:pStyle w:val="BodyText"/>
        <w:pageBreakBefore w:val="0"/>
        <w:kinsoku/>
        <w:wordWrap/>
        <w:overflowPunct/>
        <w:topLinePunct w:val="0"/>
        <w:autoSpaceDE/>
        <w:autoSpaceDN/>
        <w:bidi w:val="0"/>
        <w:adjustRightInd/>
        <w:spacing w:line="560" w:lineRule="exact"/>
        <w:ind w:left="0" w:right="0" w:firstLine="640" w:firstLineChars="200"/>
        <w:jc w:val="both"/>
        <w:textAlignment w:val="auto"/>
        <w:rPr>
          <w:rFonts w:ascii="仿宋_GB2312" w:eastAsia="仿宋_GB2312" w:hAnsi="仿宋_GB2312" w:cs="仿宋_GB2312" w:hint="eastAsia"/>
          <w:color w:val="auto"/>
          <w:w w:val="100"/>
          <w:highlight w:val="none"/>
          <w:lang w:eastAsia="zh-CN"/>
        </w:rPr>
      </w:pPr>
      <w:r>
        <w:rPr>
          <w:rFonts w:ascii="仿宋_GB2312" w:eastAsia="仿宋_GB2312" w:hAnsi="仿宋_GB2312" w:cs="仿宋_GB2312" w:hint="eastAsia"/>
          <w:color w:val="auto"/>
          <w:spacing w:val="1"/>
          <w:w w:val="100"/>
          <w:highlight w:val="none"/>
          <w:lang w:eastAsia="zh-CN"/>
        </w:rPr>
        <w:t>5.1.1</w:t>
      </w:r>
      <w:r>
        <w:rPr>
          <w:rFonts w:ascii="仿宋_GB2312" w:eastAsia="仿宋_GB2312" w:hAnsi="仿宋_GB2312" w:cs="仿宋_GB2312" w:hint="eastAsia"/>
          <w:color w:val="auto"/>
          <w:w w:val="100"/>
          <w:highlight w:val="none"/>
          <w:lang w:eastAsia="zh-CN"/>
        </w:rPr>
        <w:t>中长期电能量交易的基本流程包括交易准备、交易公告、交易申报、交易出清、交易校核、发布结果等环节。</w:t>
      </w:r>
    </w:p>
    <w:p>
      <w:pPr>
        <w:pStyle w:val="BodyText"/>
        <w:pageBreakBefore w:val="0"/>
        <w:kinsoku/>
        <w:wordWrap/>
        <w:overflowPunct/>
        <w:topLinePunct w:val="0"/>
        <w:autoSpaceDE/>
        <w:autoSpaceDN/>
        <w:bidi w:val="0"/>
        <w:adjustRightInd/>
        <w:spacing w:line="560" w:lineRule="exact"/>
        <w:ind w:left="0" w:right="0" w:firstLine="640" w:firstLineChars="200"/>
        <w:jc w:val="both"/>
        <w:textAlignment w:val="auto"/>
        <w:outlineLvl w:val="9"/>
        <w:rPr>
          <w:rFonts w:ascii="仿宋_GB2312" w:eastAsia="仿宋_GB2312" w:hAnsi="仿宋_GB2312" w:cs="仿宋_GB2312"/>
          <w:color w:val="auto"/>
          <w:w w:val="100"/>
          <w:highlight w:val="none"/>
          <w:lang w:eastAsia="zh-CN"/>
        </w:rPr>
      </w:pPr>
      <w:r>
        <w:rPr>
          <w:rFonts w:ascii="仿宋_GB2312" w:eastAsia="仿宋_GB2312" w:hAnsi="仿宋_GB2312" w:cs="仿宋_GB2312" w:hint="eastAsia"/>
          <w:color w:val="auto"/>
          <w:w w:val="100"/>
          <w:highlight w:val="none"/>
          <w:lang w:eastAsia="zh-CN"/>
        </w:rPr>
        <w:t>5.1.2中长期电能量交易通过交易</w:t>
      </w:r>
      <w:r>
        <w:rPr>
          <w:rFonts w:ascii="仿宋_GB2312" w:eastAsia="仿宋_GB2312" w:hAnsi="仿宋_GB2312" w:cs="仿宋_GB2312" w:hint="eastAsia"/>
          <w:color w:val="auto"/>
          <w:w w:val="100"/>
          <w:highlight w:val="none"/>
          <w:lang w:val="en-US" w:eastAsia="zh-CN"/>
        </w:rPr>
        <w:t>平台</w:t>
      </w:r>
      <w:r>
        <w:rPr>
          <w:rFonts w:ascii="仿宋_GB2312" w:eastAsia="仿宋_GB2312" w:hAnsi="仿宋_GB2312" w:cs="仿宋_GB2312" w:hint="eastAsia"/>
          <w:color w:val="auto"/>
          <w:w w:val="100"/>
          <w:highlight w:val="none"/>
          <w:lang w:eastAsia="zh-CN"/>
        </w:rPr>
        <w:t>开展，</w:t>
      </w:r>
      <w:r>
        <w:rPr>
          <w:rFonts w:ascii="仿宋_GB2312" w:eastAsia="仿宋_GB2312" w:hAnsi="仿宋_GB2312" w:cs="仿宋_GB2312" w:hint="eastAsia"/>
          <w:color w:val="auto"/>
          <w:w w:val="100"/>
          <w:highlight w:val="none"/>
          <w:lang w:val="en-US" w:eastAsia="zh-CN"/>
        </w:rPr>
        <w:t>经营主体根据生产消费需要，在交易时间内提交</w:t>
      </w:r>
      <w:r>
        <w:rPr>
          <w:rFonts w:ascii="仿宋_GB2312" w:eastAsia="仿宋_GB2312" w:hAnsi="仿宋_GB2312" w:cs="仿宋_GB2312" w:hint="eastAsia"/>
          <w:color w:val="auto"/>
          <w:w w:val="100"/>
          <w:highlight w:val="none"/>
          <w:lang w:eastAsia="zh-CN"/>
        </w:rPr>
        <w:t>申报信息（</w:t>
      </w:r>
      <w:r>
        <w:rPr>
          <w:rFonts w:ascii="仿宋_GB2312" w:eastAsia="仿宋_GB2312" w:hAnsi="仿宋_GB2312" w:cs="仿宋_GB2312" w:hint="eastAsia"/>
          <w:color w:val="auto"/>
          <w:w w:val="100"/>
          <w:highlight w:val="none"/>
          <w:lang w:val="en-US" w:eastAsia="zh-CN"/>
        </w:rPr>
        <w:t>包括交易单元</w:t>
      </w:r>
      <w:r>
        <w:rPr>
          <w:rFonts w:ascii="仿宋_GB2312" w:eastAsia="仿宋_GB2312" w:hAnsi="仿宋_GB2312" w:cs="仿宋_GB2312" w:hint="eastAsia"/>
          <w:color w:val="auto"/>
          <w:w w:val="100"/>
          <w:highlight w:val="none"/>
          <w:lang w:eastAsia="zh-CN"/>
        </w:rPr>
        <w:t>信息、</w:t>
      </w:r>
      <w:r>
        <w:rPr>
          <w:rFonts w:ascii="仿宋_GB2312" w:eastAsia="仿宋_GB2312" w:hAnsi="仿宋_GB2312" w:cs="仿宋_GB2312" w:hint="eastAsia"/>
          <w:color w:val="auto"/>
          <w:w w:val="100"/>
          <w:highlight w:val="none"/>
          <w:lang w:val="en-US" w:eastAsia="zh-CN"/>
        </w:rPr>
        <w:t>交易方向、交易</w:t>
      </w:r>
      <w:r>
        <w:rPr>
          <w:rFonts w:ascii="仿宋_GB2312" w:eastAsia="仿宋_GB2312" w:hAnsi="仿宋_GB2312" w:cs="仿宋_GB2312" w:hint="eastAsia"/>
          <w:color w:val="auto"/>
          <w:w w:val="100"/>
          <w:highlight w:val="none"/>
          <w:lang w:eastAsia="zh-CN"/>
        </w:rPr>
        <w:t>电量、</w:t>
      </w:r>
      <w:r>
        <w:rPr>
          <w:rFonts w:ascii="仿宋_GB2312" w:eastAsia="仿宋_GB2312" w:hAnsi="仿宋_GB2312" w:cs="仿宋_GB2312" w:hint="eastAsia"/>
          <w:color w:val="auto"/>
          <w:w w:val="100"/>
          <w:highlight w:val="none"/>
          <w:lang w:val="en-US" w:eastAsia="zh-CN"/>
        </w:rPr>
        <w:t>交易</w:t>
      </w:r>
      <w:r>
        <w:rPr>
          <w:rFonts w:ascii="仿宋_GB2312" w:eastAsia="仿宋_GB2312" w:hAnsi="仿宋_GB2312" w:cs="仿宋_GB2312" w:hint="eastAsia"/>
          <w:color w:val="auto"/>
          <w:w w:val="100"/>
          <w:highlight w:val="none"/>
          <w:lang w:eastAsia="zh-CN"/>
        </w:rPr>
        <w:t>价格（</w:t>
      </w:r>
      <w:r>
        <w:rPr>
          <w:rFonts w:ascii="仿宋_GB2312" w:eastAsia="仿宋_GB2312" w:hAnsi="仿宋_GB2312" w:cs="仿宋_GB2312" w:hint="eastAsia"/>
          <w:color w:val="auto"/>
          <w:w w:val="100"/>
          <w:highlight w:val="none"/>
          <w:lang w:val="en-US" w:eastAsia="zh-CN"/>
        </w:rPr>
        <w:t>电能量价格和绿证价格须分开申报</w:t>
      </w:r>
      <w:r>
        <w:rPr>
          <w:rFonts w:ascii="仿宋_GB2312" w:eastAsia="仿宋_GB2312" w:hAnsi="仿宋_GB2312" w:cs="仿宋_GB2312" w:hint="eastAsia"/>
          <w:color w:val="auto"/>
          <w:w w:val="100"/>
          <w:highlight w:val="none"/>
          <w:lang w:eastAsia="zh-CN"/>
        </w:rPr>
        <w:t>）、</w:t>
      </w:r>
      <w:r>
        <w:rPr>
          <w:rFonts w:ascii="仿宋_GB2312" w:eastAsia="仿宋_GB2312" w:hAnsi="仿宋_GB2312" w:cs="仿宋_GB2312" w:hint="eastAsia"/>
          <w:color w:val="auto"/>
          <w:w w:val="100"/>
          <w:highlight w:val="none"/>
          <w:lang w:val="en-US" w:eastAsia="zh-CN"/>
        </w:rPr>
        <w:t>结算参考点价格</w:t>
      </w:r>
      <w:r>
        <w:rPr>
          <w:rFonts w:ascii="仿宋_GB2312" w:eastAsia="仿宋_GB2312" w:hAnsi="仿宋_GB2312" w:cs="仿宋_GB2312" w:hint="eastAsia"/>
          <w:color w:val="auto"/>
          <w:w w:val="100"/>
          <w:highlight w:val="none"/>
          <w:lang w:eastAsia="zh-CN"/>
        </w:rPr>
        <w:t>等）。</w:t>
      </w:r>
    </w:p>
    <w:p>
      <w:pPr>
        <w:pStyle w:val="BodyText"/>
        <w:pageBreakBefore w:val="0"/>
        <w:kinsoku/>
        <w:wordWrap/>
        <w:overflowPunct/>
        <w:topLinePunct w:val="0"/>
        <w:autoSpaceDE/>
        <w:autoSpaceDN/>
        <w:bidi w:val="0"/>
        <w:adjustRightInd/>
        <w:spacing w:line="560" w:lineRule="exact"/>
        <w:ind w:left="0" w:right="0" w:firstLine="640" w:firstLineChars="200"/>
        <w:jc w:val="both"/>
        <w:textAlignment w:val="auto"/>
        <w:outlineLvl w:val="9"/>
        <w:rPr>
          <w:rFonts w:ascii="仿宋_GB2312" w:eastAsia="仿宋_GB2312" w:hAnsi="仿宋_GB2312" w:cs="仿宋_GB2312" w:hint="eastAsia"/>
          <w:color w:val="auto"/>
          <w:w w:val="100"/>
          <w:highlight w:val="none"/>
          <w:lang w:eastAsia="zh-CN"/>
        </w:rPr>
      </w:pPr>
      <w:r>
        <w:rPr>
          <w:rFonts w:ascii="仿宋_GB2312" w:eastAsia="仿宋_GB2312" w:hAnsi="仿宋_GB2312" w:cs="仿宋_GB2312" w:hint="eastAsia"/>
          <w:color w:val="auto"/>
          <w:w w:val="100"/>
          <w:highlight w:val="none"/>
          <w:lang w:eastAsia="zh-CN"/>
        </w:rPr>
        <w:t>5.1.</w:t>
      </w:r>
      <w:r>
        <w:rPr>
          <w:rFonts w:ascii="仿宋_GB2312" w:eastAsia="仿宋_GB2312" w:hAnsi="仿宋_GB2312" w:cs="仿宋_GB2312" w:hint="eastAsia"/>
          <w:color w:val="auto"/>
          <w:w w:val="100"/>
          <w:highlight w:val="none"/>
          <w:lang w:val="en-US" w:eastAsia="zh-CN"/>
        </w:rPr>
        <w:t>3</w:t>
      </w:r>
      <w:r>
        <w:rPr>
          <w:rFonts w:ascii="仿宋_GB2312" w:eastAsia="仿宋_GB2312" w:hAnsi="仿宋_GB2312" w:cs="仿宋_GB2312" w:hint="eastAsia"/>
          <w:color w:val="auto"/>
          <w:w w:val="100"/>
          <w:highlight w:val="none"/>
          <w:lang w:eastAsia="zh-CN"/>
        </w:rPr>
        <w:t>中长期电能量交易</w:t>
      </w:r>
      <w:r>
        <w:rPr>
          <w:rFonts w:ascii="仿宋_GB2312" w:eastAsia="仿宋_GB2312" w:hAnsi="仿宋_GB2312" w:cs="仿宋_GB2312" w:hint="eastAsia"/>
          <w:color w:val="auto"/>
          <w:w w:val="100"/>
          <w:highlight w:val="none"/>
          <w:lang w:val="en-US" w:eastAsia="zh-CN"/>
        </w:rPr>
        <w:t>需采用分时段或带曲线申报方式组织</w:t>
      </w:r>
      <w:r>
        <w:rPr>
          <w:rFonts w:ascii="仿宋_GB2312" w:eastAsia="仿宋_GB2312" w:hAnsi="仿宋_GB2312" w:cs="仿宋_GB2312" w:hint="eastAsia"/>
          <w:color w:val="auto"/>
          <w:w w:val="100"/>
          <w:highlight w:val="none"/>
          <w:lang w:eastAsia="zh-CN"/>
        </w:rPr>
        <w:t>，</w:t>
      </w:r>
      <w:r>
        <w:rPr>
          <w:rFonts w:ascii="仿宋_GB2312" w:eastAsia="仿宋_GB2312" w:hAnsi="仿宋_GB2312" w:cs="仿宋_GB2312" w:hint="eastAsia"/>
          <w:color w:val="auto"/>
          <w:w w:val="100"/>
          <w:highlight w:val="none"/>
          <w:lang w:val="en-US" w:eastAsia="zh-CN"/>
        </w:rPr>
        <w:t>经营主体可参照历史用电曲线、发用电需求预测等信息，申报交易电量和交易价格。</w:t>
      </w:r>
    </w:p>
    <w:p>
      <w:pPr>
        <w:pStyle w:val="BodyText"/>
        <w:pageBreakBefore w:val="0"/>
        <w:kinsoku/>
        <w:wordWrap/>
        <w:overflowPunct/>
        <w:topLinePunct w:val="0"/>
        <w:autoSpaceDE/>
        <w:autoSpaceDN/>
        <w:bidi w:val="0"/>
        <w:adjustRightInd/>
        <w:spacing w:line="560" w:lineRule="exact"/>
        <w:ind w:left="0" w:right="0" w:firstLine="640" w:firstLineChars="200"/>
        <w:jc w:val="both"/>
        <w:textAlignment w:val="auto"/>
        <w:outlineLvl w:val="9"/>
        <w:rPr>
          <w:rFonts w:ascii="仿宋_GB2312" w:eastAsia="仿宋_GB2312" w:hAnsi="仿宋_GB2312" w:cs="仿宋_GB2312" w:hint="eastAsia"/>
          <w:color w:val="auto"/>
          <w:w w:val="100"/>
          <w:highlight w:val="none"/>
          <w:lang w:val="en-US" w:eastAsia="zh-CN"/>
        </w:rPr>
      </w:pPr>
      <w:r>
        <w:rPr>
          <w:rFonts w:ascii="仿宋_GB2312" w:eastAsia="仿宋_GB2312" w:hAnsi="仿宋_GB2312" w:cs="仿宋_GB2312" w:hint="eastAsia"/>
          <w:color w:val="auto"/>
          <w:w w:val="100"/>
          <w:highlight w:val="none"/>
          <w:lang w:val="en-US" w:eastAsia="zh-CN"/>
        </w:rPr>
        <w:t>5.1.3.1分时段申报方式下，交易电量和交易价格以“分时电量+分时价格”形式提交，分时电量根据交易标的不同，可为全月</w:t>
      </w:r>
      <w:r>
        <w:rPr>
          <w:rFonts w:ascii="仿宋_GB2312" w:eastAsia="仿宋_GB2312" w:hAnsi="仿宋_GB2312" w:cs="仿宋_GB2312" w:hint="eastAsia"/>
          <w:color w:val="auto"/>
          <w:highlight w:val="none"/>
          <w:lang w:eastAsia="zh-CN"/>
        </w:rPr>
        <w:t>24小时分时电量、</w:t>
      </w:r>
      <w:r>
        <w:rPr>
          <w:rFonts w:ascii="仿宋_GB2312" w:eastAsia="仿宋_GB2312" w:hAnsi="仿宋_GB2312" w:cs="仿宋_GB2312" w:hint="eastAsia"/>
          <w:color w:val="auto"/>
          <w:highlight w:val="none"/>
          <w:lang w:val="en-US" w:eastAsia="zh-CN"/>
        </w:rPr>
        <w:t>周24小时分时电量或每日24小时分时电量</w:t>
      </w:r>
      <w:r>
        <w:rPr>
          <w:rFonts w:ascii="仿宋_GB2312" w:eastAsia="仿宋_GB2312" w:hAnsi="仿宋_GB2312" w:cs="仿宋_GB2312" w:hint="eastAsia"/>
          <w:color w:val="auto"/>
          <w:w w:val="100"/>
          <w:highlight w:val="none"/>
          <w:lang w:val="en-US" w:eastAsia="zh-CN"/>
        </w:rPr>
        <w:t>。</w:t>
      </w:r>
    </w:p>
    <w:p>
      <w:pPr>
        <w:pStyle w:val="BodyText"/>
        <w:pageBreakBefore w:val="0"/>
        <w:kinsoku/>
        <w:wordWrap/>
        <w:overflowPunct/>
        <w:topLinePunct w:val="0"/>
        <w:autoSpaceDE/>
        <w:autoSpaceDN/>
        <w:bidi w:val="0"/>
        <w:adjustRightInd/>
        <w:spacing w:line="560" w:lineRule="exact"/>
        <w:ind w:left="0" w:right="0" w:firstLine="640" w:firstLineChars="200"/>
        <w:jc w:val="both"/>
        <w:textAlignment w:val="auto"/>
        <w:outlineLvl w:val="9"/>
        <w:rPr>
          <w:rFonts w:ascii="仿宋_GB2312" w:eastAsia="仿宋_GB2312" w:hAnsi="仿宋_GB2312" w:cs="仿宋_GB2312" w:hint="eastAsia"/>
          <w:color w:val="auto"/>
          <w:w w:val="100"/>
          <w:highlight w:val="none"/>
          <w:lang w:eastAsia="zh-CN"/>
        </w:rPr>
      </w:pPr>
      <w:r>
        <w:rPr>
          <w:rFonts w:ascii="仿宋_GB2312" w:eastAsia="仿宋_GB2312" w:hAnsi="仿宋_GB2312" w:cs="仿宋_GB2312" w:hint="eastAsia"/>
          <w:color w:val="auto"/>
          <w:w w:val="100"/>
          <w:highlight w:val="none"/>
          <w:lang w:val="en-US" w:eastAsia="zh-CN"/>
        </w:rPr>
        <w:t>5.1.3.2带曲线申报方式下，交易电量和交易价格以“申报总电量+分解曲线+统一价格”形式提交</w:t>
      </w:r>
      <w:r>
        <w:rPr>
          <w:rFonts w:ascii="仿宋_GB2312" w:eastAsia="仿宋_GB2312" w:hAnsi="仿宋_GB2312" w:cs="仿宋_GB2312" w:hint="eastAsia"/>
          <w:color w:val="auto"/>
          <w:w w:val="100"/>
          <w:highlight w:val="none"/>
          <w:lang w:eastAsia="zh-CN"/>
        </w:rPr>
        <w:t>。</w:t>
      </w:r>
    </w:p>
    <w:p>
      <w:pPr>
        <w:pStyle w:val="BodyText"/>
        <w:spacing w:line="560" w:lineRule="exact"/>
        <w:ind w:left="0" w:firstLine="640" w:firstLineChars="200"/>
        <w:jc w:val="both"/>
        <w:outlineLvl w:val="9"/>
        <w:rPr>
          <w:rFonts w:ascii="仿宋_GB2312" w:eastAsia="仿宋_GB2312" w:hAnsi="仿宋_GB2312" w:cs="仿宋_GB2312" w:hint="eastAsia"/>
          <w:color w:val="auto"/>
          <w:highlight w:val="none"/>
          <w:lang w:val="en-US" w:eastAsia="zh-CN"/>
        </w:rPr>
      </w:pPr>
      <w:r>
        <w:rPr>
          <w:rFonts w:ascii="仿宋_GB2312" w:eastAsia="仿宋_GB2312" w:hAnsi="仿宋_GB2312" w:cs="仿宋_GB2312" w:hint="eastAsia"/>
          <w:color w:val="auto"/>
          <w:w w:val="100"/>
          <w:highlight w:val="none"/>
          <w:lang w:val="en-US" w:eastAsia="zh-CN"/>
        </w:rPr>
        <w:t>5.1.3.3</w:t>
      </w:r>
      <w:r>
        <w:rPr>
          <w:rFonts w:ascii="仿宋_GB2312" w:eastAsia="仿宋_GB2312" w:hAnsi="仿宋_GB2312" w:cs="仿宋_GB2312" w:hint="eastAsia"/>
          <w:color w:val="auto"/>
          <w:w w:val="100"/>
          <w:highlight w:val="none"/>
          <w:lang w:eastAsia="zh-CN"/>
        </w:rPr>
        <w:t>电网企业代理购电交易</w:t>
      </w:r>
      <w:r>
        <w:rPr>
          <w:rFonts w:ascii="仿宋_GB2312" w:eastAsia="仿宋_GB2312" w:hAnsi="仿宋_GB2312" w:cs="仿宋_GB2312" w:hint="eastAsia"/>
          <w:color w:val="auto"/>
          <w:w w:val="100"/>
          <w:highlight w:val="none"/>
          <w:lang w:val="en-US" w:eastAsia="zh-CN"/>
        </w:rPr>
        <w:t>仅需提交“分时电量”或“申报总电量+分解曲线”，交易价格按照【</w:t>
      </w:r>
      <w:r>
        <w:rPr>
          <w:rFonts w:ascii="仿宋_GB2312" w:eastAsia="仿宋_GB2312" w:hAnsi="仿宋_GB2312" w:cs="仿宋_GB2312" w:hint="eastAsia"/>
          <w:color w:val="auto"/>
          <w:highlight w:val="none"/>
          <w:lang w:eastAsia="zh-CN"/>
        </w:rPr>
        <w:t>5.3交易组织流程</w:t>
      </w:r>
      <w:r>
        <w:rPr>
          <w:rFonts w:ascii="仿宋_GB2312" w:eastAsia="仿宋_GB2312" w:hAnsi="仿宋_GB2312" w:cs="仿宋_GB2312" w:hint="eastAsia"/>
          <w:color w:val="auto"/>
          <w:w w:val="100"/>
          <w:highlight w:val="none"/>
          <w:lang w:val="en-US" w:eastAsia="zh-CN"/>
        </w:rPr>
        <w:t>】中各交易品种的“</w:t>
      </w:r>
      <w:r>
        <w:rPr>
          <w:rFonts w:ascii="仿宋_GB2312" w:eastAsia="仿宋_GB2312" w:hAnsi="仿宋_GB2312" w:cs="仿宋_GB2312" w:hint="eastAsia"/>
          <w:b w:val="0"/>
          <w:bCs w:val="0"/>
          <w:color w:val="auto"/>
          <w:w w:val="100"/>
          <w:kern w:val="0"/>
          <w:sz w:val="32"/>
          <w:szCs w:val="32"/>
          <w:highlight w:val="none"/>
          <w:lang w:val="en-US" w:eastAsia="zh-CN" w:bidi="ar"/>
        </w:rPr>
        <w:t>挂牌</w:t>
      </w:r>
      <w:r>
        <w:rPr>
          <w:rFonts w:ascii="仿宋_GB2312" w:eastAsia="仿宋_GB2312" w:hAnsi="仿宋_GB2312" w:cs="仿宋_GB2312" w:hint="eastAsia"/>
          <w:color w:val="auto"/>
          <w:sz w:val="32"/>
          <w:szCs w:val="32"/>
          <w:highlight w:val="none"/>
          <w:lang w:eastAsia="zh-CN" w:bidi="ar"/>
        </w:rPr>
        <w:t>价格</w:t>
      </w:r>
      <w:r>
        <w:rPr>
          <w:rFonts w:ascii="仿宋_GB2312" w:eastAsia="仿宋_GB2312" w:hAnsi="仿宋_GB2312" w:cs="仿宋_GB2312" w:hint="eastAsia"/>
          <w:color w:val="auto"/>
          <w:w w:val="100"/>
          <w:highlight w:val="none"/>
          <w:lang w:val="en-US" w:eastAsia="zh-CN"/>
        </w:rPr>
        <w:t>”执行。</w:t>
      </w:r>
    </w:p>
    <w:p>
      <w:pPr>
        <w:pStyle w:val="BodyText"/>
        <w:pageBreakBefore w:val="0"/>
        <w:kinsoku/>
        <w:wordWrap/>
        <w:overflowPunct/>
        <w:topLinePunct w:val="0"/>
        <w:autoSpaceDE/>
        <w:autoSpaceDN/>
        <w:bidi w:val="0"/>
        <w:adjustRightInd/>
        <w:spacing w:line="560" w:lineRule="exact"/>
        <w:ind w:left="0" w:right="0" w:firstLine="640" w:firstLineChars="200"/>
        <w:jc w:val="both"/>
        <w:textAlignment w:val="auto"/>
        <w:outlineLvl w:val="9"/>
        <w:rPr>
          <w:rFonts w:ascii="仿宋_GB2312" w:eastAsia="仿宋_GB2312" w:hAnsi="仿宋_GB2312" w:cs="仿宋_GB2312"/>
          <w:color w:val="auto"/>
          <w:w w:val="100"/>
          <w:highlight w:val="none"/>
          <w:lang w:eastAsia="zh-CN"/>
        </w:rPr>
      </w:pPr>
      <w:r>
        <w:rPr>
          <w:rFonts w:ascii="仿宋_GB2312" w:eastAsia="仿宋_GB2312" w:hAnsi="仿宋_GB2312" w:cs="仿宋_GB2312" w:hint="eastAsia"/>
          <w:color w:val="auto"/>
          <w:w w:val="100"/>
          <w:highlight w:val="none"/>
          <w:lang w:eastAsia="zh-CN"/>
        </w:rPr>
        <w:t>5.1.</w:t>
      </w:r>
      <w:r>
        <w:rPr>
          <w:rFonts w:ascii="仿宋_GB2312" w:eastAsia="仿宋_GB2312" w:hAnsi="仿宋_GB2312" w:cs="仿宋_GB2312" w:hint="eastAsia"/>
          <w:color w:val="auto"/>
          <w:w w:val="100"/>
          <w:highlight w:val="none"/>
          <w:lang w:val="en-US" w:eastAsia="zh-CN"/>
        </w:rPr>
        <w:t>4</w:t>
      </w:r>
      <w:r>
        <w:rPr>
          <w:rFonts w:ascii="仿宋_GB2312" w:eastAsia="仿宋_GB2312" w:hAnsi="仿宋_GB2312" w:cs="仿宋_GB2312" w:hint="eastAsia"/>
          <w:color w:val="auto"/>
          <w:w w:val="100"/>
          <w:highlight w:val="none"/>
          <w:lang w:eastAsia="zh-CN"/>
        </w:rPr>
        <w:t>交易的限定条件必须在交易公告中明确，原则上在申报组织以及出清过程中不得临时增加限定条件，确有必要的应当公开说明原因。</w:t>
      </w:r>
    </w:p>
    <w:p>
      <w:pPr>
        <w:pStyle w:val="BodyText"/>
        <w:pageBreakBefore w:val="0"/>
        <w:kinsoku/>
        <w:wordWrap/>
        <w:overflowPunct/>
        <w:topLinePunct w:val="0"/>
        <w:autoSpaceDE/>
        <w:autoSpaceDN/>
        <w:bidi w:val="0"/>
        <w:adjustRightInd/>
        <w:spacing w:line="560" w:lineRule="exact"/>
        <w:ind w:left="0" w:right="0" w:firstLine="640" w:firstLineChars="200"/>
        <w:jc w:val="both"/>
        <w:textAlignment w:val="auto"/>
        <w:outlineLvl w:val="1"/>
        <w:rPr>
          <w:rFonts w:ascii="仿宋_GB2312" w:eastAsia="仿宋_GB2312" w:hAnsi="仿宋_GB2312" w:cs="仿宋_GB2312"/>
          <w:b/>
          <w:bCs/>
          <w:color w:val="auto"/>
          <w:w w:val="100"/>
          <w:highlight w:val="none"/>
          <w:lang w:eastAsia="zh-CN"/>
        </w:rPr>
      </w:pPr>
      <w:r>
        <w:rPr>
          <w:rFonts w:ascii="仿宋_GB2312" w:eastAsia="仿宋_GB2312" w:hAnsi="仿宋_GB2312" w:cs="仿宋_GB2312" w:hint="eastAsia"/>
          <w:b/>
          <w:bCs/>
          <w:color w:val="auto"/>
          <w:spacing w:val="1"/>
          <w:w w:val="100"/>
          <w:highlight w:val="none"/>
          <w:lang w:eastAsia="zh-CN"/>
        </w:rPr>
        <w:t>5.2</w:t>
      </w:r>
      <w:r>
        <w:rPr>
          <w:rFonts w:ascii="仿宋_GB2312" w:eastAsia="仿宋_GB2312" w:hAnsi="仿宋_GB2312" w:cs="仿宋_GB2312" w:hint="eastAsia"/>
          <w:b/>
          <w:bCs/>
          <w:color w:val="auto"/>
          <w:w w:val="100"/>
          <w:highlight w:val="none"/>
          <w:lang w:eastAsia="zh-CN"/>
        </w:rPr>
        <w:t>交易约束条件</w:t>
      </w:r>
    </w:p>
    <w:p>
      <w:pPr>
        <w:pStyle w:val="BodyText"/>
        <w:pageBreakBefore w:val="0"/>
        <w:kinsoku/>
        <w:wordWrap/>
        <w:overflowPunct/>
        <w:topLinePunct w:val="0"/>
        <w:autoSpaceDE/>
        <w:autoSpaceDN/>
        <w:bidi w:val="0"/>
        <w:adjustRightInd/>
        <w:spacing w:line="560" w:lineRule="exact"/>
        <w:ind w:left="0" w:right="0" w:firstLine="640" w:firstLineChars="200"/>
        <w:jc w:val="both"/>
        <w:textAlignment w:val="auto"/>
        <w:outlineLvl w:val="2"/>
        <w:rPr>
          <w:rFonts w:ascii="仿宋_GB2312" w:eastAsia="仿宋_GB2312" w:hAnsi="仿宋_GB2312" w:cs="仿宋_GB2312" w:hint="eastAsia"/>
          <w:color w:val="auto"/>
          <w:w w:val="100"/>
          <w:highlight w:val="none"/>
          <w:lang w:eastAsia="zh-CN"/>
        </w:rPr>
      </w:pPr>
      <w:r>
        <w:rPr>
          <w:rFonts w:ascii="仿宋_GB2312" w:eastAsia="仿宋_GB2312" w:hAnsi="仿宋_GB2312" w:cs="仿宋_GB2312" w:hint="eastAsia"/>
          <w:color w:val="auto"/>
          <w:w w:val="100"/>
          <w:highlight w:val="none"/>
          <w:lang w:eastAsia="zh-CN"/>
        </w:rPr>
        <w:t>5.2.1合同电量净值</w:t>
      </w:r>
    </w:p>
    <w:p>
      <w:pPr>
        <w:pStyle w:val="BodyText"/>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ascii="仿宋_GB2312" w:eastAsia="仿宋_GB2312" w:hAnsi="仿宋_GB2312" w:cs="仿宋_GB2312" w:hint="default"/>
          <w:color w:val="auto"/>
          <w:w w:val="100"/>
          <w:highlight w:val="none"/>
          <w:lang w:val="en-US" w:eastAsia="zh-CN"/>
        </w:rPr>
      </w:pPr>
      <w:r>
        <w:rPr>
          <w:rFonts w:ascii="仿宋_GB2312" w:eastAsia="仿宋_GB2312" w:hAnsi="仿宋_GB2312" w:cs="仿宋_GB2312" w:hint="eastAsia"/>
          <w:color w:val="auto"/>
          <w:w w:val="100"/>
          <w:highlight w:val="none"/>
          <w:lang w:eastAsia="zh-CN"/>
        </w:rPr>
        <w:t>5.2.1.1合同电量净值是指</w:t>
      </w:r>
      <w:r>
        <w:rPr>
          <w:rFonts w:ascii="仿宋_GB2312" w:eastAsia="仿宋_GB2312" w:hAnsi="仿宋_GB2312" w:cs="仿宋_GB2312" w:hint="eastAsia"/>
          <w:color w:val="auto"/>
          <w:w w:val="100"/>
          <w:highlight w:val="none"/>
          <w:lang w:val="en-US" w:eastAsia="zh-CN"/>
        </w:rPr>
        <w:t>交易单元</w:t>
      </w:r>
      <w:r>
        <w:rPr>
          <w:rFonts w:ascii="仿宋_GB2312" w:eastAsia="仿宋_GB2312" w:hAnsi="仿宋_GB2312" w:cs="仿宋_GB2312" w:hint="eastAsia"/>
          <w:color w:val="auto"/>
          <w:w w:val="100"/>
          <w:highlight w:val="none"/>
          <w:lang w:eastAsia="zh-CN"/>
        </w:rPr>
        <w:t>在中长期电能量交易中多次买入、卖出互相抵消后的合同电量代数和，合同电量净值应大于等于零。</w:t>
      </w:r>
      <w:r>
        <w:rPr>
          <w:rFonts w:ascii="仿宋_GB2312" w:eastAsia="仿宋_GB2312" w:hAnsi="仿宋_GB2312" w:cs="仿宋_GB2312" w:hint="eastAsia"/>
          <w:color w:val="auto"/>
          <w:w w:val="100"/>
          <w:highlight w:val="none"/>
          <w:lang w:val="en-US" w:eastAsia="zh-CN"/>
        </w:rPr>
        <w:t>根据交易标的不同，可分为省内中长期直接交易合约电量净值和代理购电合约净值。</w:t>
      </w:r>
    </w:p>
    <w:p>
      <w:pPr>
        <w:pStyle w:val="BodyText"/>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ascii="仿宋_GB2312" w:eastAsia="仿宋_GB2312" w:hAnsi="仿宋_GB2312" w:cs="仿宋_GB2312" w:hint="eastAsia"/>
          <w:color w:val="auto"/>
          <w:w w:val="100"/>
          <w:highlight w:val="none"/>
          <w:lang w:eastAsia="zh-CN"/>
        </w:rPr>
      </w:pPr>
      <w:r>
        <w:rPr>
          <w:rFonts w:ascii="仿宋_GB2312" w:eastAsia="仿宋_GB2312" w:hAnsi="仿宋_GB2312" w:cs="仿宋_GB2312" w:hint="eastAsia"/>
          <w:color w:val="auto"/>
          <w:w w:val="100"/>
          <w:highlight w:val="none"/>
          <w:lang w:eastAsia="zh-CN"/>
        </w:rPr>
        <w:t>5.2.1.2为降低市场操纵风险，保障电力中长期合同有效履约，</w:t>
      </w:r>
      <w:r>
        <w:rPr>
          <w:rFonts w:ascii="仿宋_GB2312" w:eastAsia="仿宋_GB2312" w:hAnsi="仿宋_GB2312" w:cs="仿宋_GB2312" w:hint="eastAsia"/>
          <w:color w:val="auto"/>
          <w:w w:val="100"/>
          <w:highlight w:val="none"/>
          <w:lang w:val="en-US" w:eastAsia="zh-CN"/>
        </w:rPr>
        <w:t>对各交易单元</w:t>
      </w:r>
      <w:r>
        <w:rPr>
          <w:rFonts w:ascii="仿宋_GB2312" w:eastAsia="仿宋_GB2312" w:hAnsi="仿宋_GB2312" w:cs="仿宋_GB2312" w:hint="eastAsia"/>
          <w:color w:val="auto"/>
          <w:w w:val="100"/>
          <w:highlight w:val="none"/>
          <w:lang w:eastAsia="zh-CN"/>
        </w:rPr>
        <w:t>设置合同电量净值上下限约束。</w:t>
      </w:r>
      <w:r>
        <w:rPr>
          <w:rFonts w:ascii="仿宋_GB2312" w:eastAsia="仿宋_GB2312" w:hAnsi="仿宋_GB2312" w:cs="仿宋_GB2312" w:hint="eastAsia"/>
          <w:color w:val="auto"/>
          <w:w w:val="100"/>
          <w:highlight w:val="none"/>
          <w:lang w:val="en-US" w:eastAsia="zh-CN"/>
        </w:rPr>
        <w:t>同时，为加强与跨省中长期交易衔接，同步</w:t>
      </w:r>
      <w:r>
        <w:rPr>
          <w:rFonts w:ascii="仿宋_GB2312" w:eastAsia="仿宋_GB2312" w:hAnsi="仿宋_GB2312" w:cs="仿宋_GB2312" w:hint="eastAsia"/>
          <w:color w:val="auto"/>
          <w:highlight w:val="none"/>
          <w:lang w:eastAsia="zh-CN"/>
        </w:rPr>
        <w:t>建立跨省及省（区）内</w:t>
      </w:r>
      <w:r>
        <w:rPr>
          <w:rFonts w:ascii="仿宋_GB2312" w:eastAsia="仿宋_GB2312" w:hAnsi="仿宋_GB2312" w:cs="仿宋_GB2312" w:hint="eastAsia"/>
          <w:color w:val="auto"/>
          <w:highlight w:val="none"/>
          <w:lang w:val="en-US" w:eastAsia="zh-CN"/>
        </w:rPr>
        <w:t>各交易单元</w:t>
      </w:r>
      <w:r>
        <w:rPr>
          <w:rFonts w:ascii="仿宋_GB2312" w:eastAsia="仿宋_GB2312" w:hAnsi="仿宋_GB2312" w:cs="仿宋_GB2312" w:hint="eastAsia"/>
          <w:color w:val="auto"/>
          <w:highlight w:val="none"/>
          <w:lang w:eastAsia="zh-CN"/>
        </w:rPr>
        <w:t>交易限额互通机制，</w:t>
      </w:r>
      <w:r>
        <w:rPr>
          <w:rFonts w:ascii="仿宋_GB2312" w:eastAsia="仿宋_GB2312" w:hAnsi="仿宋_GB2312" w:cs="仿宋_GB2312" w:hint="eastAsia"/>
          <w:color w:val="auto"/>
          <w:highlight w:val="none"/>
          <w:lang w:val="en-US" w:eastAsia="zh-CN"/>
        </w:rPr>
        <w:t>具体按《</w:t>
      </w:r>
      <w:r>
        <w:rPr>
          <w:rFonts w:ascii="仿宋_GB2312" w:eastAsia="仿宋_GB2312" w:hAnsi="仿宋_GB2312" w:cs="仿宋_GB2312" w:hint="eastAsia"/>
          <w:color w:val="auto"/>
          <w:highlight w:val="none"/>
          <w:lang w:eastAsia="zh-CN"/>
        </w:rPr>
        <w:t>南方区域电力市场中长期电能量交易实施细则</w:t>
      </w:r>
      <w:r>
        <w:rPr>
          <w:rFonts w:ascii="仿宋_GB2312" w:eastAsia="仿宋_GB2312" w:hAnsi="仿宋_GB2312" w:cs="仿宋_GB2312" w:hint="eastAsia"/>
          <w:color w:val="auto"/>
          <w:highlight w:val="none"/>
          <w:lang w:val="en-US" w:eastAsia="zh-CN"/>
        </w:rPr>
        <w:t>》执行</w:t>
      </w:r>
      <w:r>
        <w:rPr>
          <w:rFonts w:ascii="仿宋_GB2312" w:eastAsia="仿宋_GB2312" w:hAnsi="仿宋_GB2312" w:cs="仿宋_GB2312" w:hint="eastAsia"/>
          <w:color w:val="auto"/>
          <w:w w:val="100"/>
          <w:highlight w:val="none"/>
          <w:lang w:eastAsia="zh-CN"/>
        </w:rPr>
        <w:t>。</w:t>
      </w:r>
    </w:p>
    <w:p>
      <w:pPr>
        <w:pStyle w:val="BodyText"/>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ascii="仿宋_GB2312" w:eastAsia="仿宋_GB2312" w:hAnsi="仿宋_GB2312" w:cs="仿宋_GB2312" w:hint="default"/>
          <w:color w:val="auto"/>
          <w:w w:val="100"/>
          <w:highlight w:val="none"/>
          <w:lang w:val="en-US" w:eastAsia="zh-CN"/>
        </w:rPr>
      </w:pPr>
      <w:r>
        <w:rPr>
          <w:rFonts w:ascii="仿宋_GB2312" w:eastAsia="仿宋_GB2312" w:hAnsi="仿宋_GB2312" w:cs="仿宋_GB2312" w:hint="eastAsia"/>
          <w:color w:val="auto"/>
          <w:w w:val="100"/>
          <w:highlight w:val="none"/>
          <w:lang w:val="en-US" w:eastAsia="zh-CN"/>
        </w:rPr>
        <w:t>5.2.1.2.1总</w:t>
      </w:r>
      <w:r>
        <w:rPr>
          <w:rFonts w:ascii="仿宋_GB2312" w:eastAsia="仿宋_GB2312" w:hAnsi="仿宋_GB2312" w:cs="仿宋_GB2312" w:hint="eastAsia"/>
          <w:color w:val="auto"/>
          <w:w w:val="100"/>
          <w:highlight w:val="none"/>
          <w:lang w:eastAsia="zh-CN"/>
        </w:rPr>
        <w:t>合同电量净值上</w:t>
      </w:r>
      <w:r>
        <w:rPr>
          <w:rFonts w:ascii="仿宋_GB2312" w:eastAsia="仿宋_GB2312" w:hAnsi="仿宋_GB2312" w:cs="仿宋_GB2312" w:hint="eastAsia"/>
          <w:color w:val="auto"/>
          <w:w w:val="100"/>
          <w:highlight w:val="none"/>
          <w:lang w:val="en-US" w:eastAsia="zh-CN"/>
        </w:rPr>
        <w:t>下</w:t>
      </w:r>
      <w:r>
        <w:rPr>
          <w:rFonts w:ascii="仿宋_GB2312" w:eastAsia="仿宋_GB2312" w:hAnsi="仿宋_GB2312" w:cs="仿宋_GB2312" w:hint="eastAsia"/>
          <w:color w:val="auto"/>
          <w:w w:val="100"/>
          <w:highlight w:val="none"/>
          <w:lang w:eastAsia="zh-CN"/>
        </w:rPr>
        <w:t>限</w:t>
      </w:r>
    </w:p>
    <w:p>
      <w:pPr>
        <w:pStyle w:val="BodyText"/>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ascii="仿宋_GB2312" w:eastAsia="仿宋_GB2312" w:hAnsi="仿宋_GB2312" w:cs="仿宋_GB2312" w:hint="eastAsia"/>
          <w:color w:val="auto"/>
          <w:w w:val="100"/>
          <w:highlight w:val="none"/>
          <w:lang w:eastAsia="zh-CN"/>
        </w:rPr>
      </w:pPr>
      <w:r>
        <w:rPr>
          <w:rFonts w:ascii="仿宋_GB2312" w:eastAsia="仿宋_GB2312" w:hAnsi="仿宋_GB2312" w:cs="仿宋_GB2312" w:hint="eastAsia"/>
          <w:color w:val="auto"/>
          <w:w w:val="100"/>
          <w:highlight w:val="none"/>
          <w:lang w:eastAsia="zh-CN"/>
        </w:rPr>
        <w:t>（1）发电侧交易单元</w:t>
      </w:r>
      <w:r>
        <w:rPr>
          <w:rFonts w:ascii="仿宋_GB2312" w:eastAsia="仿宋_GB2312" w:hAnsi="仿宋_GB2312" w:cs="仿宋_GB2312" w:hint="eastAsia"/>
          <w:color w:val="auto"/>
          <w:w w:val="100"/>
          <w:highlight w:val="none"/>
          <w:lang w:val="en-US" w:eastAsia="zh-CN"/>
        </w:rPr>
        <w:t>总</w:t>
      </w:r>
      <w:r>
        <w:rPr>
          <w:rFonts w:ascii="仿宋_GB2312" w:eastAsia="仿宋_GB2312" w:hAnsi="仿宋_GB2312" w:cs="仿宋_GB2312" w:hint="eastAsia"/>
          <w:color w:val="auto"/>
          <w:w w:val="100"/>
          <w:highlight w:val="none"/>
          <w:lang w:eastAsia="zh-CN"/>
        </w:rPr>
        <w:t>合同电量净值上</w:t>
      </w:r>
      <w:r>
        <w:rPr>
          <w:rFonts w:ascii="仿宋_GB2312" w:eastAsia="仿宋_GB2312" w:hAnsi="仿宋_GB2312" w:cs="仿宋_GB2312" w:hint="eastAsia"/>
          <w:color w:val="auto"/>
          <w:w w:val="100"/>
          <w:highlight w:val="none"/>
          <w:lang w:val="en-US" w:eastAsia="zh-CN"/>
        </w:rPr>
        <w:t>下</w:t>
      </w:r>
      <w:r>
        <w:rPr>
          <w:rFonts w:ascii="仿宋_GB2312" w:eastAsia="仿宋_GB2312" w:hAnsi="仿宋_GB2312" w:cs="仿宋_GB2312" w:hint="eastAsia"/>
          <w:color w:val="auto"/>
          <w:w w:val="100"/>
          <w:highlight w:val="none"/>
          <w:lang w:eastAsia="zh-CN"/>
        </w:rPr>
        <w:t>限</w:t>
      </w:r>
      <w:r>
        <w:rPr>
          <w:rFonts w:ascii="仿宋_GB2312" w:eastAsia="仿宋_GB2312" w:hAnsi="仿宋_GB2312" w:cs="仿宋_GB2312" w:hint="eastAsia"/>
          <w:color w:val="auto"/>
          <w:w w:val="100"/>
          <w:highlight w:val="none"/>
          <w:lang w:val="en-US" w:eastAsia="zh-CN"/>
        </w:rPr>
        <w:t>按月度进行约束，分别</w:t>
      </w:r>
      <w:r>
        <w:rPr>
          <w:rFonts w:ascii="仿宋_GB2312" w:eastAsia="仿宋_GB2312" w:hAnsi="仿宋_GB2312" w:cs="仿宋_GB2312" w:hint="eastAsia"/>
          <w:color w:val="auto"/>
          <w:w w:val="100"/>
          <w:highlight w:val="none"/>
          <w:lang w:eastAsia="zh-CN"/>
        </w:rPr>
        <w:t>为调度机构发布的发电机组最大发电能力</w:t>
      </w:r>
      <w:r>
        <w:rPr>
          <w:rFonts w:ascii="仿宋_GB2312" w:eastAsia="仿宋_GB2312" w:hAnsi="仿宋_GB2312" w:cs="仿宋_GB2312" w:hint="eastAsia"/>
          <w:color w:val="auto"/>
          <w:w w:val="100"/>
          <w:highlight w:val="none"/>
          <w:lang w:val="en-US" w:eastAsia="zh-CN"/>
        </w:rPr>
        <w:t>和最小发电能力</w:t>
      </w:r>
      <w:r>
        <w:rPr>
          <w:rStyle w:val="FootnoteReference"/>
          <w:rFonts w:ascii="仿宋_GB2312" w:eastAsia="仿宋_GB2312" w:hAnsi="仿宋_GB2312" w:cs="仿宋_GB2312" w:hint="eastAsia"/>
          <w:color w:val="auto"/>
          <w:w w:val="100"/>
          <w:highlight w:val="none"/>
          <w:lang w:val="en-US" w:eastAsia="zh-CN"/>
        </w:rPr>
        <w:footnoteReference w:id="3"/>
      </w:r>
      <w:r>
        <w:rPr>
          <w:rFonts w:ascii="仿宋_GB2312" w:eastAsia="仿宋_GB2312" w:hAnsi="仿宋_GB2312" w:cs="仿宋_GB2312" w:hint="eastAsia"/>
          <w:color w:val="auto"/>
          <w:w w:val="100"/>
          <w:highlight w:val="none"/>
          <w:lang w:val="en-US" w:eastAsia="zh-CN"/>
        </w:rPr>
        <w:t>。其中新能源机组对应交易单元的总</w:t>
      </w:r>
      <w:r>
        <w:rPr>
          <w:rFonts w:ascii="仿宋_GB2312" w:eastAsia="仿宋_GB2312" w:hAnsi="仿宋_GB2312" w:cs="仿宋_GB2312" w:hint="eastAsia"/>
          <w:color w:val="auto"/>
          <w:w w:val="100"/>
          <w:highlight w:val="none"/>
          <w:lang w:eastAsia="zh-CN"/>
        </w:rPr>
        <w:t>合同电量净值上</w:t>
      </w:r>
      <w:r>
        <w:rPr>
          <w:rFonts w:ascii="仿宋_GB2312" w:eastAsia="仿宋_GB2312" w:hAnsi="仿宋_GB2312" w:cs="仿宋_GB2312" w:hint="eastAsia"/>
          <w:color w:val="auto"/>
          <w:w w:val="100"/>
          <w:highlight w:val="none"/>
          <w:lang w:val="en-US" w:eastAsia="zh-CN"/>
        </w:rPr>
        <w:t>下</w:t>
      </w:r>
      <w:r>
        <w:rPr>
          <w:rFonts w:ascii="仿宋_GB2312" w:eastAsia="仿宋_GB2312" w:hAnsi="仿宋_GB2312" w:cs="仿宋_GB2312" w:hint="eastAsia"/>
          <w:color w:val="auto"/>
          <w:w w:val="100"/>
          <w:highlight w:val="none"/>
          <w:lang w:eastAsia="zh-CN"/>
        </w:rPr>
        <w:t>限</w:t>
      </w:r>
      <w:r>
        <w:rPr>
          <w:rFonts w:ascii="仿宋_GB2312" w:eastAsia="仿宋_GB2312" w:hAnsi="仿宋_GB2312" w:cs="仿宋_GB2312" w:hint="eastAsia"/>
          <w:color w:val="auto"/>
          <w:w w:val="100"/>
          <w:highlight w:val="none"/>
          <w:lang w:val="en-US" w:eastAsia="zh-CN"/>
        </w:rPr>
        <w:t>需扣除机制电量</w:t>
      </w:r>
      <w:r>
        <w:rPr>
          <w:rStyle w:val="FootnoteReference"/>
          <w:rFonts w:ascii="仿宋_GB2312" w:eastAsia="仿宋_GB2312" w:hAnsi="仿宋_GB2312" w:cs="仿宋_GB2312" w:hint="eastAsia"/>
          <w:color w:val="auto"/>
          <w:w w:val="100"/>
          <w:highlight w:val="none"/>
          <w:lang w:val="en-US" w:eastAsia="zh-CN"/>
        </w:rPr>
        <w:footnoteReference w:id="4"/>
      </w:r>
      <w:r>
        <w:rPr>
          <w:rFonts w:ascii="仿宋_GB2312" w:eastAsia="仿宋_GB2312" w:hAnsi="仿宋_GB2312" w:cs="仿宋_GB2312" w:hint="eastAsia"/>
          <w:color w:val="auto"/>
          <w:w w:val="100"/>
          <w:highlight w:val="none"/>
          <w:lang w:val="en-US" w:eastAsia="zh-CN"/>
        </w:rPr>
        <w:t>；执行优先计划发电机组对应交易单元的总</w:t>
      </w:r>
      <w:r>
        <w:rPr>
          <w:rFonts w:ascii="仿宋_GB2312" w:eastAsia="仿宋_GB2312" w:hAnsi="仿宋_GB2312" w:cs="仿宋_GB2312" w:hint="eastAsia"/>
          <w:color w:val="auto"/>
          <w:w w:val="100"/>
          <w:highlight w:val="none"/>
          <w:lang w:eastAsia="zh-CN"/>
        </w:rPr>
        <w:t>合同电量净值上</w:t>
      </w:r>
      <w:r>
        <w:rPr>
          <w:rFonts w:ascii="仿宋_GB2312" w:eastAsia="仿宋_GB2312" w:hAnsi="仿宋_GB2312" w:cs="仿宋_GB2312" w:hint="eastAsia"/>
          <w:color w:val="auto"/>
          <w:w w:val="100"/>
          <w:highlight w:val="none"/>
          <w:lang w:val="en-US" w:eastAsia="zh-CN"/>
        </w:rPr>
        <w:t>下</w:t>
      </w:r>
      <w:r>
        <w:rPr>
          <w:rFonts w:ascii="仿宋_GB2312" w:eastAsia="仿宋_GB2312" w:hAnsi="仿宋_GB2312" w:cs="仿宋_GB2312" w:hint="eastAsia"/>
          <w:color w:val="auto"/>
          <w:w w:val="100"/>
          <w:highlight w:val="none"/>
          <w:lang w:eastAsia="zh-CN"/>
        </w:rPr>
        <w:t>限</w:t>
      </w:r>
      <w:r>
        <w:rPr>
          <w:rFonts w:ascii="仿宋_GB2312" w:eastAsia="仿宋_GB2312" w:hAnsi="仿宋_GB2312" w:cs="仿宋_GB2312" w:hint="eastAsia"/>
          <w:color w:val="auto"/>
          <w:w w:val="100"/>
          <w:highlight w:val="none"/>
          <w:lang w:val="en-US" w:eastAsia="zh-CN"/>
        </w:rPr>
        <w:t>需扣除优先计划电量</w:t>
      </w:r>
      <w:r>
        <w:rPr>
          <w:rFonts w:ascii="仿宋_GB2312" w:eastAsia="仿宋_GB2312" w:hAnsi="仿宋_GB2312" w:cs="仿宋_GB2312" w:hint="eastAsia"/>
          <w:color w:val="auto"/>
          <w:w w:val="100"/>
          <w:highlight w:val="none"/>
          <w:lang w:eastAsia="zh-CN"/>
        </w:rPr>
        <w:t>。</w:t>
      </w:r>
    </w:p>
    <w:p>
      <w:pPr>
        <w:pStyle w:val="BodyText"/>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ascii="仿宋_GB2312" w:eastAsia="仿宋_GB2312" w:hAnsi="仿宋_GB2312" w:cs="仿宋_GB2312" w:hint="default"/>
          <w:color w:val="auto"/>
          <w:w w:val="100"/>
          <w:highlight w:val="none"/>
          <w:lang w:val="en-US" w:eastAsia="zh-CN"/>
        </w:rPr>
      </w:pPr>
      <w:r>
        <w:rPr>
          <w:rFonts w:ascii="仿宋_GB2312" w:eastAsia="仿宋_GB2312" w:hAnsi="仿宋_GB2312" w:cs="仿宋_GB2312" w:hint="eastAsia"/>
          <w:color w:val="auto"/>
          <w:w w:val="100"/>
          <w:highlight w:val="none"/>
          <w:lang w:eastAsia="zh-CN"/>
        </w:rPr>
        <w:t>（2）售电公司交易单元</w:t>
      </w:r>
      <w:r>
        <w:rPr>
          <w:rFonts w:ascii="仿宋_GB2312" w:eastAsia="仿宋_GB2312" w:hAnsi="仿宋_GB2312" w:cs="仿宋_GB2312" w:hint="eastAsia"/>
          <w:color w:val="auto"/>
          <w:w w:val="100"/>
          <w:highlight w:val="none"/>
          <w:lang w:val="en-US" w:eastAsia="zh-CN"/>
        </w:rPr>
        <w:t>总</w:t>
      </w:r>
      <w:r>
        <w:rPr>
          <w:rFonts w:ascii="仿宋_GB2312" w:eastAsia="仿宋_GB2312" w:hAnsi="仿宋_GB2312" w:cs="仿宋_GB2312" w:hint="eastAsia"/>
          <w:color w:val="auto"/>
          <w:w w:val="100"/>
          <w:highlight w:val="none"/>
          <w:lang w:eastAsia="zh-CN"/>
        </w:rPr>
        <w:t>合同电量净值上限</w:t>
      </w:r>
      <w:r>
        <w:rPr>
          <w:rFonts w:ascii="仿宋_GB2312" w:eastAsia="仿宋_GB2312" w:hAnsi="仿宋_GB2312" w:cs="仿宋_GB2312" w:hint="eastAsia"/>
          <w:color w:val="auto"/>
          <w:highlight w:val="none"/>
          <w:lang w:eastAsia="zh-CN"/>
        </w:rPr>
        <w:t>按</w:t>
      </w:r>
      <w:r>
        <w:rPr>
          <w:rFonts w:ascii="仿宋_GB2312" w:eastAsia="仿宋_GB2312" w:hAnsi="仿宋_GB2312" w:cs="仿宋_GB2312" w:hint="eastAsia"/>
          <w:color w:val="auto"/>
          <w:highlight w:val="none"/>
          <w:lang w:val="en-US" w:eastAsia="zh-CN"/>
        </w:rPr>
        <w:t>月度及年</w:t>
      </w:r>
      <w:r>
        <w:rPr>
          <w:rFonts w:ascii="仿宋_GB2312" w:eastAsia="仿宋_GB2312" w:hAnsi="仿宋_GB2312" w:cs="仿宋_GB2312" w:hint="eastAsia"/>
          <w:color w:val="auto"/>
          <w:highlight w:val="none"/>
          <w:lang w:eastAsia="zh-CN"/>
        </w:rPr>
        <w:t>度进行约束。</w:t>
      </w:r>
      <w:r>
        <w:rPr>
          <w:rFonts w:ascii="仿宋_GB2312" w:eastAsia="仿宋_GB2312" w:hAnsi="仿宋_GB2312" w:cs="仿宋_GB2312" w:hint="eastAsia"/>
          <w:color w:val="auto"/>
          <w:highlight w:val="none"/>
          <w:lang w:val="en-US" w:eastAsia="zh-CN"/>
        </w:rPr>
        <w:t>月度</w:t>
      </w:r>
      <w:r>
        <w:rPr>
          <w:rFonts w:ascii="仿宋_GB2312" w:eastAsia="仿宋_GB2312" w:hAnsi="仿宋_GB2312" w:cs="仿宋_GB2312" w:hint="eastAsia"/>
          <w:color w:val="auto"/>
          <w:highlight w:val="none"/>
          <w:lang w:eastAsia="zh-CN"/>
        </w:rPr>
        <w:t>上限等于近12个月历史最大实际用电量乘以</w:t>
      </w:r>
      <w:r>
        <w:rPr>
          <w:rFonts w:ascii="仿宋_GB2312" w:eastAsia="仿宋_GB2312" w:hAnsi="仿宋_GB2312" w:cs="仿宋_GB2312" w:hint="eastAsia"/>
          <w:color w:val="auto"/>
          <w:w w:val="100"/>
          <w:highlight w:val="none"/>
          <w:lang w:val="en-US" w:eastAsia="zh-CN"/>
        </w:rPr>
        <w:t>Y</w:t>
      </w:r>
      <w:r>
        <w:rPr>
          <w:rFonts w:ascii="仿宋_GB2312" w:eastAsia="仿宋_GB2312" w:hAnsi="仿宋_GB2312" w:cs="仿宋_GB2312" w:hint="eastAsia"/>
          <w:color w:val="auto"/>
          <w:w w:val="100"/>
          <w:highlight w:val="none"/>
          <w:vertAlign w:val="subscript"/>
          <w:lang w:val="en-US" w:eastAsia="zh-CN"/>
        </w:rPr>
        <w:t>调节</w:t>
      </w:r>
      <w:r>
        <w:rPr>
          <w:rFonts w:ascii="仿宋_GB2312" w:eastAsia="仿宋_GB2312" w:hAnsi="仿宋_GB2312" w:cs="仿宋_GB2312" w:hint="eastAsia"/>
          <w:color w:val="auto"/>
          <w:w w:val="100"/>
          <w:highlight w:val="none"/>
          <w:vertAlign w:val="subscript"/>
          <w:lang w:eastAsia="zh-CN"/>
        </w:rPr>
        <w:t>系数</w:t>
      </w:r>
      <w:r>
        <w:rPr>
          <w:rFonts w:ascii="仿宋_GB2312" w:eastAsia="仿宋_GB2312" w:hAnsi="仿宋_GB2312" w:cs="仿宋_GB2312" w:hint="eastAsia"/>
          <w:color w:val="auto"/>
          <w:highlight w:val="none"/>
          <w:lang w:eastAsia="zh-CN"/>
        </w:rPr>
        <w:t>，</w:t>
      </w:r>
      <w:r>
        <w:rPr>
          <w:rFonts w:ascii="仿宋_GB2312" w:eastAsia="仿宋_GB2312" w:hAnsi="仿宋_GB2312" w:cs="仿宋_GB2312" w:hint="eastAsia"/>
          <w:color w:val="auto"/>
          <w:w w:val="100"/>
          <w:highlight w:val="none"/>
          <w:lang w:eastAsia="zh-CN"/>
        </w:rPr>
        <w:t>其中</w:t>
      </w:r>
      <w:r>
        <w:rPr>
          <w:rFonts w:ascii="仿宋_GB2312" w:eastAsia="仿宋_GB2312" w:hAnsi="仿宋_GB2312" w:cs="仿宋_GB2312" w:hint="eastAsia"/>
          <w:color w:val="auto"/>
          <w:w w:val="100"/>
          <w:highlight w:val="none"/>
          <w:lang w:val="en-US" w:eastAsia="zh-CN"/>
        </w:rPr>
        <w:t>Y</w:t>
      </w:r>
      <w:r>
        <w:rPr>
          <w:rFonts w:ascii="仿宋_GB2312" w:eastAsia="仿宋_GB2312" w:hAnsi="仿宋_GB2312" w:cs="仿宋_GB2312" w:hint="eastAsia"/>
          <w:color w:val="auto"/>
          <w:w w:val="100"/>
          <w:highlight w:val="none"/>
          <w:vertAlign w:val="subscript"/>
          <w:lang w:val="en-US" w:eastAsia="zh-CN"/>
        </w:rPr>
        <w:t>调节</w:t>
      </w:r>
      <w:r>
        <w:rPr>
          <w:rFonts w:ascii="仿宋_GB2312" w:eastAsia="仿宋_GB2312" w:hAnsi="仿宋_GB2312" w:cs="仿宋_GB2312" w:hint="eastAsia"/>
          <w:color w:val="auto"/>
          <w:w w:val="100"/>
          <w:highlight w:val="none"/>
          <w:vertAlign w:val="subscript"/>
          <w:lang w:eastAsia="zh-CN"/>
        </w:rPr>
        <w:t>系数</w:t>
      </w:r>
      <w:r>
        <w:rPr>
          <w:rFonts w:ascii="仿宋_GB2312" w:eastAsia="仿宋_GB2312" w:hAnsi="仿宋_GB2312" w:cs="仿宋_GB2312" w:hint="eastAsia"/>
          <w:color w:val="auto"/>
          <w:w w:val="100"/>
          <w:highlight w:val="none"/>
          <w:lang w:eastAsia="zh-CN"/>
        </w:rPr>
        <w:t>取值</w:t>
      </w:r>
      <w:r>
        <w:rPr>
          <w:rFonts w:ascii="仿宋_GB2312" w:eastAsia="仿宋_GB2312" w:hAnsi="仿宋_GB2312" w:cs="仿宋_GB2312" w:hint="eastAsia"/>
          <w:color w:val="auto"/>
          <w:w w:val="100"/>
          <w:highlight w:val="none"/>
          <w:lang w:val="en-US" w:eastAsia="zh-CN"/>
        </w:rPr>
        <w:t>按当年省内交易方案执行，下同；若售电公司代理的所有电力用户均为当月新报装用电的用户，则该售电公司当月总</w:t>
      </w:r>
      <w:r>
        <w:rPr>
          <w:rFonts w:ascii="仿宋_GB2312" w:eastAsia="仿宋_GB2312" w:hAnsi="仿宋_GB2312" w:cs="仿宋_GB2312" w:hint="eastAsia"/>
          <w:color w:val="auto"/>
          <w:w w:val="100"/>
          <w:highlight w:val="none"/>
          <w:lang w:eastAsia="zh-CN"/>
        </w:rPr>
        <w:t>合同电量净值上限</w:t>
      </w:r>
      <w:r>
        <w:rPr>
          <w:rFonts w:ascii="仿宋_GB2312" w:eastAsia="仿宋_GB2312" w:hAnsi="仿宋_GB2312" w:cs="仿宋_GB2312" w:hint="eastAsia"/>
          <w:color w:val="auto"/>
          <w:w w:val="100"/>
          <w:highlight w:val="none"/>
          <w:lang w:val="en-US" w:eastAsia="zh-CN"/>
        </w:rPr>
        <w:t>=代理电力用户名下所有工商业计量点容量</w:t>
      </w:r>
      <w:r>
        <w:rPr>
          <w:rFonts w:ascii="Times New Roman" w:eastAsia="仿宋_GB2312" w:hAnsi="Times New Roman" w:cs="Times New Roman" w:hint="eastAsia"/>
          <w:color w:val="auto"/>
          <w:sz w:val="32"/>
          <w:szCs w:val="32"/>
          <w:highlight w:val="none"/>
        </w:rPr>
        <w:t>×</w:t>
      </w:r>
      <w:r>
        <w:rPr>
          <w:rFonts w:ascii="Times New Roman" w:eastAsia="仿宋_GB2312" w:hAnsi="Times New Roman" w:cs="Times New Roman" w:hint="eastAsia"/>
          <w:color w:val="auto"/>
          <w:sz w:val="32"/>
          <w:szCs w:val="32"/>
          <w:highlight w:val="none"/>
          <w:lang w:val="en-US" w:eastAsia="zh-CN"/>
        </w:rPr>
        <w:t>当月天数</w:t>
      </w:r>
      <w:r>
        <w:rPr>
          <w:rFonts w:ascii="Times New Roman" w:eastAsia="仿宋_GB2312" w:hAnsi="Times New Roman" w:cs="Times New Roman" w:hint="eastAsia"/>
          <w:color w:val="auto"/>
          <w:sz w:val="32"/>
          <w:szCs w:val="32"/>
          <w:highlight w:val="none"/>
        </w:rPr>
        <w:t>×</w:t>
      </w:r>
      <w:r>
        <w:rPr>
          <w:rFonts w:ascii="Times New Roman" w:eastAsia="仿宋_GB2312" w:hAnsi="Times New Roman" w:cs="Times New Roman" w:hint="eastAsia"/>
          <w:color w:val="auto"/>
          <w:sz w:val="32"/>
          <w:szCs w:val="32"/>
          <w:highlight w:val="none"/>
          <w:lang w:val="en-US" w:eastAsia="zh-CN"/>
        </w:rPr>
        <w:t>24小时</w:t>
      </w:r>
      <w:r>
        <w:rPr>
          <w:rFonts w:ascii="仿宋_GB2312" w:eastAsia="仿宋_GB2312" w:hAnsi="仿宋_GB2312" w:cs="仿宋_GB2312" w:hint="eastAsia"/>
          <w:color w:val="auto"/>
          <w:w w:val="100"/>
          <w:highlight w:val="none"/>
          <w:lang w:val="en-US" w:eastAsia="zh-CN"/>
        </w:rPr>
        <w:t>。</w:t>
      </w:r>
      <w:r>
        <w:rPr>
          <w:rFonts w:ascii="仿宋_GB2312" w:eastAsia="仿宋_GB2312" w:hAnsi="仿宋_GB2312" w:cs="仿宋_GB2312" w:hint="eastAsia"/>
          <w:color w:val="auto"/>
          <w:highlight w:val="none"/>
          <w:lang w:eastAsia="zh-CN"/>
        </w:rPr>
        <w:t>年度</w:t>
      </w:r>
      <w:r>
        <w:rPr>
          <w:rFonts w:ascii="仿宋_GB2312" w:eastAsia="仿宋_GB2312" w:hAnsi="仿宋_GB2312" w:cs="仿宋_GB2312" w:hint="eastAsia"/>
          <w:color w:val="auto"/>
          <w:highlight w:val="none"/>
          <w:lang w:val="en-US" w:eastAsia="zh-CN"/>
        </w:rPr>
        <w:t>上限为</w:t>
      </w:r>
      <w:r>
        <w:rPr>
          <w:rFonts w:ascii="仿宋_GB2312" w:eastAsia="仿宋_GB2312" w:hAnsi="仿宋_GB2312" w:cs="仿宋_GB2312" w:hint="eastAsia"/>
          <w:color w:val="auto"/>
          <w:highlight w:val="none"/>
          <w:lang w:eastAsia="zh-CN"/>
        </w:rPr>
        <w:t>售电公司资产总额</w:t>
      </w:r>
      <w:r>
        <w:rPr>
          <w:rFonts w:ascii="仿宋_GB2312" w:eastAsia="仿宋_GB2312" w:hAnsi="仿宋_GB2312" w:cs="仿宋_GB2312" w:hint="eastAsia"/>
          <w:color w:val="auto"/>
          <w:highlight w:val="none"/>
          <w:lang w:val="en-US" w:eastAsia="zh-CN"/>
        </w:rPr>
        <w:t>和</w:t>
      </w:r>
      <w:r>
        <w:rPr>
          <w:rFonts w:ascii="仿宋_GB2312" w:eastAsia="仿宋_GB2312" w:hAnsi="仿宋_GB2312" w:cs="仿宋_GB2312" w:hint="eastAsia"/>
          <w:color w:val="auto"/>
          <w:highlight w:val="none"/>
          <w:lang w:eastAsia="zh-CN"/>
        </w:rPr>
        <w:t>履约担保对应可交易电量规模</w:t>
      </w:r>
      <w:r>
        <w:rPr>
          <w:rFonts w:ascii="仿宋_GB2312" w:eastAsia="仿宋_GB2312" w:hAnsi="仿宋_GB2312" w:cs="仿宋_GB2312" w:hint="eastAsia"/>
          <w:color w:val="auto"/>
          <w:highlight w:val="none"/>
          <w:lang w:val="en-US" w:eastAsia="zh-CN"/>
        </w:rPr>
        <w:t>二者取小</w:t>
      </w:r>
      <w:r>
        <w:rPr>
          <w:rFonts w:ascii="仿宋_GB2312" w:eastAsia="仿宋_GB2312" w:hAnsi="仿宋_GB2312" w:cs="仿宋_GB2312" w:hint="eastAsia"/>
          <w:color w:val="auto"/>
          <w:w w:val="100"/>
          <w:highlight w:val="none"/>
          <w:lang w:val="en-US" w:eastAsia="zh-CN"/>
        </w:rPr>
        <w:t>。年度、月度下限均为零。</w:t>
      </w:r>
    </w:p>
    <w:p>
      <w:pPr>
        <w:pStyle w:val="BodyText"/>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ascii="仿宋_GB2312" w:eastAsia="仿宋_GB2312" w:hAnsi="仿宋_GB2312" w:cs="仿宋_GB2312" w:hint="eastAsia"/>
          <w:color w:val="auto"/>
          <w:highlight w:val="none"/>
          <w:lang w:eastAsia="zh-CN"/>
        </w:rPr>
      </w:pPr>
      <w:r>
        <w:rPr>
          <w:rFonts w:ascii="仿宋_GB2312" w:eastAsia="仿宋_GB2312" w:hAnsi="仿宋_GB2312" w:cs="仿宋_GB2312" w:hint="eastAsia"/>
          <w:color w:val="auto"/>
          <w:highlight w:val="none"/>
          <w:lang w:eastAsia="zh-CN"/>
        </w:rPr>
        <w:t>（3）</w:t>
      </w:r>
      <w:r>
        <w:rPr>
          <w:rFonts w:ascii="仿宋_GB2312" w:eastAsia="仿宋_GB2312" w:hAnsi="仿宋_GB2312" w:cs="仿宋_GB2312" w:hint="eastAsia"/>
          <w:color w:val="auto"/>
          <w:highlight w:val="none"/>
          <w:lang w:val="en-US" w:eastAsia="zh-CN"/>
        </w:rPr>
        <w:t>电力</w:t>
      </w:r>
      <w:r>
        <w:rPr>
          <w:rFonts w:ascii="仿宋_GB2312" w:eastAsia="仿宋_GB2312" w:hAnsi="仿宋_GB2312" w:cs="仿宋_GB2312" w:hint="eastAsia"/>
          <w:color w:val="auto"/>
          <w:highlight w:val="none"/>
          <w:lang w:eastAsia="zh-CN"/>
        </w:rPr>
        <w:t>批发用户交易单元</w:t>
      </w:r>
      <w:r>
        <w:rPr>
          <w:rFonts w:ascii="仿宋_GB2312" w:eastAsia="仿宋_GB2312" w:hAnsi="仿宋_GB2312" w:cs="仿宋_GB2312" w:hint="eastAsia"/>
          <w:color w:val="auto"/>
          <w:highlight w:val="none"/>
          <w:lang w:val="en-US" w:eastAsia="zh-CN"/>
        </w:rPr>
        <w:t>总</w:t>
      </w:r>
      <w:r>
        <w:rPr>
          <w:rFonts w:ascii="仿宋_GB2312" w:eastAsia="仿宋_GB2312" w:hAnsi="仿宋_GB2312" w:cs="仿宋_GB2312" w:hint="eastAsia"/>
          <w:color w:val="auto"/>
          <w:highlight w:val="none"/>
          <w:lang w:eastAsia="zh-CN"/>
        </w:rPr>
        <w:t>合同电量净值</w:t>
      </w:r>
      <w:r>
        <w:rPr>
          <w:rFonts w:ascii="仿宋_GB2312" w:eastAsia="仿宋_GB2312" w:hAnsi="仿宋_GB2312" w:cs="仿宋_GB2312" w:hint="eastAsia"/>
          <w:color w:val="auto"/>
          <w:highlight w:val="none"/>
          <w:lang w:val="en-US" w:eastAsia="zh-CN"/>
        </w:rPr>
        <w:t>上下限按月度进行约束，</w:t>
      </w:r>
      <w:r>
        <w:rPr>
          <w:rFonts w:ascii="仿宋_GB2312" w:eastAsia="仿宋_GB2312" w:hAnsi="仿宋_GB2312" w:cs="仿宋_GB2312" w:hint="eastAsia"/>
          <w:color w:val="auto"/>
          <w:highlight w:val="none"/>
          <w:lang w:eastAsia="zh-CN"/>
        </w:rPr>
        <w:t>上限</w:t>
      </w:r>
      <w:r>
        <w:rPr>
          <w:rFonts w:ascii="仿宋_GB2312" w:eastAsia="仿宋_GB2312" w:hAnsi="仿宋_GB2312" w:cs="仿宋_GB2312" w:hint="eastAsia"/>
          <w:color w:val="auto"/>
          <w:highlight w:val="none"/>
          <w:lang w:val="en-US" w:eastAsia="zh-CN"/>
        </w:rPr>
        <w:t>为其</w:t>
      </w:r>
      <w:r>
        <w:rPr>
          <w:rFonts w:ascii="仿宋_GB2312" w:eastAsia="仿宋_GB2312" w:hAnsi="仿宋_GB2312" w:cs="仿宋_GB2312" w:hint="eastAsia"/>
          <w:color w:val="auto"/>
          <w:highlight w:val="none"/>
          <w:lang w:eastAsia="zh-CN"/>
        </w:rPr>
        <w:t>近12个月历史最大实际用电量乘以</w:t>
      </w:r>
      <w:r>
        <w:rPr>
          <w:rFonts w:ascii="仿宋_GB2312" w:eastAsia="仿宋_GB2312" w:hAnsi="仿宋_GB2312" w:cs="仿宋_GB2312" w:hint="eastAsia"/>
          <w:color w:val="auto"/>
          <w:highlight w:val="none"/>
          <w:lang w:val="en-US" w:eastAsia="zh-CN"/>
        </w:rPr>
        <w:t>Y调节</w:t>
      </w:r>
      <w:r>
        <w:rPr>
          <w:rFonts w:ascii="仿宋_GB2312" w:eastAsia="仿宋_GB2312" w:hAnsi="仿宋_GB2312" w:cs="仿宋_GB2312" w:hint="eastAsia"/>
          <w:color w:val="auto"/>
          <w:highlight w:val="none"/>
          <w:lang w:eastAsia="zh-CN"/>
        </w:rPr>
        <w:t>系数，下限为零。</w:t>
      </w:r>
    </w:p>
    <w:p>
      <w:pPr>
        <w:pStyle w:val="BodyText"/>
        <w:pageBreakBefore w:val="0"/>
        <w:kinsoku/>
        <w:wordWrap/>
        <w:overflowPunct/>
        <w:topLinePunct w:val="0"/>
        <w:autoSpaceDE/>
        <w:autoSpaceDN/>
        <w:bidi w:val="0"/>
        <w:adjustRightInd/>
        <w:spacing w:line="560" w:lineRule="exact"/>
        <w:ind w:left="0" w:right="0" w:firstLine="640" w:firstLineChars="200"/>
        <w:jc w:val="both"/>
        <w:textAlignment w:val="auto"/>
        <w:outlineLvl w:val="9"/>
        <w:rPr>
          <w:rFonts w:hint="eastAsia"/>
          <w:color w:val="auto"/>
          <w:w w:val="100"/>
          <w:highlight w:val="none"/>
          <w:lang w:eastAsia="zh-CN"/>
        </w:rPr>
      </w:pPr>
      <w:r>
        <w:rPr>
          <w:rFonts w:ascii="仿宋_GB2312" w:eastAsia="仿宋_GB2312" w:hAnsi="仿宋_GB2312" w:cs="仿宋_GB2312" w:hint="eastAsia"/>
          <w:color w:val="auto"/>
          <w:w w:val="100"/>
          <w:highlight w:val="none"/>
          <w:lang w:eastAsia="zh-CN"/>
        </w:rPr>
        <w:t>（</w:t>
      </w:r>
      <w:r>
        <w:rPr>
          <w:rFonts w:ascii="仿宋_GB2312" w:eastAsia="仿宋_GB2312" w:hAnsi="仿宋_GB2312" w:cs="仿宋_GB2312" w:hint="eastAsia"/>
          <w:color w:val="auto"/>
          <w:w w:val="100"/>
          <w:highlight w:val="none"/>
          <w:lang w:val="en-US" w:eastAsia="zh-CN"/>
        </w:rPr>
        <w:t>4</w:t>
      </w:r>
      <w:r>
        <w:rPr>
          <w:rFonts w:ascii="仿宋_GB2312" w:eastAsia="仿宋_GB2312" w:hAnsi="仿宋_GB2312" w:cs="仿宋_GB2312" w:hint="eastAsia"/>
          <w:color w:val="auto"/>
          <w:w w:val="100"/>
          <w:highlight w:val="none"/>
          <w:lang w:eastAsia="zh-CN"/>
        </w:rPr>
        <w:t>）</w:t>
      </w:r>
      <w:r>
        <w:rPr>
          <w:rFonts w:ascii="仿宋_GB2312" w:eastAsia="仿宋_GB2312" w:hAnsi="仿宋_GB2312" w:cs="仿宋_GB2312" w:hint="eastAsia"/>
          <w:color w:val="auto"/>
          <w:w w:val="100"/>
          <w:highlight w:val="none"/>
          <w:lang w:val="en-US" w:eastAsia="zh-CN"/>
        </w:rPr>
        <w:t>电网企业</w:t>
      </w:r>
      <w:r>
        <w:rPr>
          <w:rFonts w:ascii="仿宋_GB2312" w:eastAsia="仿宋_GB2312" w:hAnsi="仿宋_GB2312" w:cs="仿宋_GB2312" w:hint="eastAsia"/>
          <w:color w:val="auto"/>
          <w:w w:val="100"/>
          <w:highlight w:val="none"/>
          <w:lang w:eastAsia="zh-CN"/>
        </w:rPr>
        <w:t>交易单元</w:t>
      </w:r>
      <w:r>
        <w:rPr>
          <w:rFonts w:ascii="仿宋_GB2312" w:eastAsia="仿宋_GB2312" w:hAnsi="仿宋_GB2312" w:cs="仿宋_GB2312" w:hint="eastAsia"/>
          <w:color w:val="auto"/>
          <w:w w:val="100"/>
          <w:highlight w:val="none"/>
          <w:lang w:val="en-US" w:eastAsia="zh-CN"/>
        </w:rPr>
        <w:t>总</w:t>
      </w:r>
      <w:r>
        <w:rPr>
          <w:rFonts w:ascii="仿宋_GB2312" w:eastAsia="仿宋_GB2312" w:hAnsi="仿宋_GB2312" w:cs="仿宋_GB2312" w:hint="eastAsia"/>
          <w:color w:val="auto"/>
          <w:w w:val="100"/>
          <w:highlight w:val="none"/>
          <w:lang w:eastAsia="zh-CN"/>
        </w:rPr>
        <w:t>合同电量净值不设上限，下限为零。</w:t>
      </w:r>
    </w:p>
    <w:p>
      <w:pPr>
        <w:pStyle w:val="BodyText"/>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ascii="仿宋_GB2312" w:eastAsia="仿宋_GB2312" w:hAnsi="仿宋_GB2312" w:cs="仿宋_GB2312" w:hint="eastAsia"/>
          <w:color w:val="auto"/>
          <w:w w:val="100"/>
          <w:highlight w:val="none"/>
          <w:lang w:val="en-US" w:eastAsia="zh-CN"/>
        </w:rPr>
      </w:pPr>
      <w:r>
        <w:rPr>
          <w:rFonts w:ascii="仿宋_GB2312" w:eastAsia="仿宋_GB2312" w:hAnsi="仿宋_GB2312" w:cs="仿宋_GB2312" w:hint="eastAsia"/>
          <w:color w:val="auto"/>
          <w:w w:val="100"/>
          <w:highlight w:val="none"/>
          <w:lang w:val="en-US" w:eastAsia="zh-CN"/>
        </w:rPr>
        <w:t>（5）独立储能充电和放电交易单元总合同电量净值上下限按月度进行约束，上限=额定容量×日均充放电循环次数×当月天数，下限为零。</w:t>
      </w:r>
    </w:p>
    <w:p>
      <w:pPr>
        <w:pStyle w:val="BodyText"/>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ascii="仿宋_GB2312" w:eastAsia="仿宋_GB2312" w:hAnsi="仿宋_GB2312" w:cs="仿宋_GB2312" w:hint="default"/>
          <w:color w:val="auto"/>
          <w:w w:val="100"/>
          <w:highlight w:val="none"/>
          <w:lang w:val="en-US" w:eastAsia="zh-CN"/>
        </w:rPr>
      </w:pPr>
      <w:r>
        <w:rPr>
          <w:rFonts w:ascii="仿宋_GB2312" w:eastAsia="仿宋_GB2312" w:hAnsi="仿宋_GB2312" w:cs="仿宋_GB2312" w:hint="eastAsia"/>
          <w:color w:val="auto"/>
          <w:w w:val="100"/>
          <w:highlight w:val="none"/>
          <w:lang w:val="en-US" w:eastAsia="zh-CN"/>
        </w:rPr>
        <w:t>5.2.1.2.2分时段</w:t>
      </w:r>
      <w:r>
        <w:rPr>
          <w:rFonts w:ascii="仿宋_GB2312" w:eastAsia="仿宋_GB2312" w:hAnsi="仿宋_GB2312" w:cs="仿宋_GB2312" w:hint="eastAsia"/>
          <w:color w:val="auto"/>
          <w:w w:val="100"/>
          <w:highlight w:val="none"/>
          <w:lang w:eastAsia="zh-CN"/>
        </w:rPr>
        <w:t>合同电量净值上</w:t>
      </w:r>
      <w:r>
        <w:rPr>
          <w:rFonts w:ascii="仿宋_GB2312" w:eastAsia="仿宋_GB2312" w:hAnsi="仿宋_GB2312" w:cs="仿宋_GB2312" w:hint="eastAsia"/>
          <w:color w:val="auto"/>
          <w:w w:val="100"/>
          <w:highlight w:val="none"/>
          <w:lang w:val="en-US" w:eastAsia="zh-CN"/>
        </w:rPr>
        <w:t>下</w:t>
      </w:r>
      <w:r>
        <w:rPr>
          <w:rFonts w:ascii="仿宋_GB2312" w:eastAsia="仿宋_GB2312" w:hAnsi="仿宋_GB2312" w:cs="仿宋_GB2312" w:hint="eastAsia"/>
          <w:color w:val="auto"/>
          <w:w w:val="100"/>
          <w:highlight w:val="none"/>
          <w:lang w:eastAsia="zh-CN"/>
        </w:rPr>
        <w:t>限</w:t>
      </w:r>
    </w:p>
    <w:p>
      <w:pPr>
        <w:pStyle w:val="BodyText"/>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ascii="仿宋_GB2312" w:eastAsia="仿宋_GB2312" w:hAnsi="仿宋_GB2312" w:cs="仿宋_GB2312" w:hint="eastAsia"/>
          <w:color w:val="auto"/>
          <w:w w:val="100"/>
          <w:highlight w:val="none"/>
          <w:lang w:val="en-US" w:eastAsia="zh-CN"/>
        </w:rPr>
      </w:pPr>
      <w:r>
        <w:rPr>
          <w:rFonts w:ascii="仿宋_GB2312" w:eastAsia="仿宋_GB2312" w:hAnsi="仿宋_GB2312" w:cs="仿宋_GB2312" w:hint="eastAsia"/>
          <w:color w:val="auto"/>
          <w:highlight w:val="none"/>
          <w:lang w:eastAsia="zh-CN"/>
        </w:rPr>
        <w:t>为保证中长期</w:t>
      </w:r>
      <w:r>
        <w:rPr>
          <w:rFonts w:ascii="仿宋_GB2312" w:eastAsia="仿宋_GB2312" w:hAnsi="仿宋_GB2312" w:cs="仿宋_GB2312" w:hint="eastAsia"/>
          <w:color w:val="auto"/>
          <w:highlight w:val="none"/>
          <w:lang w:val="en-US" w:eastAsia="zh-CN"/>
        </w:rPr>
        <w:t>交易</w:t>
      </w:r>
      <w:r>
        <w:rPr>
          <w:rFonts w:ascii="仿宋_GB2312" w:eastAsia="仿宋_GB2312" w:hAnsi="仿宋_GB2312" w:cs="仿宋_GB2312" w:hint="eastAsia"/>
          <w:color w:val="auto"/>
          <w:highlight w:val="none"/>
          <w:lang w:eastAsia="zh-CN"/>
        </w:rPr>
        <w:t>与现货交易的衔接</w:t>
      </w:r>
      <w:r>
        <w:rPr>
          <w:rFonts w:ascii="仿宋_GB2312" w:eastAsia="仿宋_GB2312" w:hAnsi="仿宋_GB2312" w:cs="仿宋_GB2312" w:hint="eastAsia"/>
          <w:color w:val="auto"/>
          <w:w w:val="100"/>
          <w:highlight w:val="none"/>
          <w:lang w:eastAsia="zh-CN"/>
        </w:rPr>
        <w:t>，应用分时段合同电量净值</w:t>
      </w:r>
      <w:r>
        <w:rPr>
          <w:rStyle w:val="FootnoteReference"/>
          <w:rFonts w:ascii="仿宋_GB2312" w:eastAsia="仿宋_GB2312" w:hAnsi="仿宋_GB2312" w:cs="仿宋_GB2312" w:hint="eastAsia"/>
          <w:color w:val="auto"/>
          <w:w w:val="100"/>
          <w:highlight w:val="none"/>
          <w:lang w:eastAsia="zh-CN"/>
        </w:rPr>
        <w:footnoteReference w:id="5"/>
      </w:r>
      <w:r>
        <w:rPr>
          <w:rFonts w:ascii="仿宋_GB2312" w:eastAsia="仿宋_GB2312" w:hAnsi="仿宋_GB2312" w:cs="仿宋_GB2312" w:hint="eastAsia"/>
          <w:color w:val="auto"/>
          <w:w w:val="100"/>
          <w:highlight w:val="none"/>
          <w:lang w:eastAsia="zh-CN"/>
        </w:rPr>
        <w:t>上下限约束。</w:t>
      </w:r>
    </w:p>
    <w:p>
      <w:pPr>
        <w:pStyle w:val="BodyText"/>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ascii="仿宋_GB2312" w:eastAsia="仿宋_GB2312" w:hAnsi="仿宋_GB2312" w:cs="仿宋_GB2312" w:hint="default"/>
          <w:color w:val="auto"/>
          <w:w w:val="100"/>
          <w:highlight w:val="none"/>
          <w:lang w:val="en-US" w:eastAsia="zh-CN"/>
        </w:rPr>
      </w:pPr>
      <w:r>
        <w:rPr>
          <w:rFonts w:ascii="仿宋_GB2312" w:eastAsia="仿宋_GB2312" w:hAnsi="仿宋_GB2312" w:cs="仿宋_GB2312" w:hint="eastAsia"/>
          <w:color w:val="auto"/>
          <w:w w:val="100"/>
          <w:highlight w:val="none"/>
          <w:lang w:eastAsia="zh-CN"/>
        </w:rPr>
        <w:t>（</w:t>
      </w:r>
      <w:r>
        <w:rPr>
          <w:rFonts w:ascii="仿宋_GB2312" w:eastAsia="仿宋_GB2312" w:hAnsi="仿宋_GB2312" w:cs="仿宋_GB2312" w:hint="eastAsia"/>
          <w:color w:val="auto"/>
          <w:w w:val="100"/>
          <w:highlight w:val="none"/>
          <w:lang w:val="en-US" w:eastAsia="zh-CN"/>
        </w:rPr>
        <w:t>1</w:t>
      </w:r>
      <w:r>
        <w:rPr>
          <w:rFonts w:ascii="仿宋_GB2312" w:eastAsia="仿宋_GB2312" w:hAnsi="仿宋_GB2312" w:cs="仿宋_GB2312" w:hint="eastAsia"/>
          <w:color w:val="auto"/>
          <w:w w:val="100"/>
          <w:highlight w:val="none"/>
          <w:lang w:eastAsia="zh-CN"/>
        </w:rPr>
        <w:t>）</w:t>
      </w:r>
      <w:r>
        <w:rPr>
          <w:rFonts w:ascii="仿宋_GB2312" w:eastAsia="仿宋_GB2312" w:hAnsi="仿宋_GB2312" w:cs="仿宋_GB2312" w:hint="eastAsia"/>
          <w:color w:val="auto"/>
          <w:w w:val="100"/>
          <w:highlight w:val="none"/>
          <w:lang w:val="en-US" w:eastAsia="zh-CN"/>
        </w:rPr>
        <w:t>原则上，</w:t>
      </w:r>
      <w:r>
        <w:rPr>
          <w:rFonts w:ascii="仿宋_GB2312" w:eastAsia="仿宋_GB2312" w:hAnsi="仿宋_GB2312" w:cs="仿宋_GB2312" w:hint="eastAsia"/>
          <w:color w:val="auto"/>
          <w:w w:val="100"/>
          <w:highlight w:val="none"/>
          <w:lang w:eastAsia="zh-CN"/>
        </w:rPr>
        <w:t>发电侧交易单元各时段合同电量净值上限为</w:t>
      </w:r>
      <w:r>
        <w:rPr>
          <w:rFonts w:ascii="仿宋_GB2312" w:eastAsia="仿宋_GB2312" w:hAnsi="仿宋_GB2312" w:cs="仿宋_GB2312" w:hint="eastAsia"/>
          <w:color w:val="auto"/>
          <w:w w:val="100"/>
          <w:highlight w:val="none"/>
          <w:lang w:val="en-US" w:eastAsia="zh-CN"/>
        </w:rPr>
        <w:t>机组注册装机容量×(1-厂用电率)×（1-机制电量比例</w:t>
      </w:r>
      <w:r>
        <w:rPr>
          <w:rFonts w:ascii="仿宋_GB2312" w:eastAsia="仿宋_GB2312" w:hAnsi="仿宋_GB2312" w:cs="仿宋_GB2312" w:hint="eastAsia"/>
          <w:color w:val="auto"/>
          <w:w w:val="100"/>
          <w:highlight w:val="none"/>
          <w:vertAlign w:val="superscript"/>
          <w:lang w:val="en-US" w:eastAsia="zh-CN"/>
        </w:rPr>
        <w:footnoteReference w:id="6"/>
      </w:r>
      <w:r>
        <w:rPr>
          <w:rFonts w:ascii="仿宋_GB2312" w:eastAsia="仿宋_GB2312" w:hAnsi="仿宋_GB2312" w:cs="仿宋_GB2312" w:hint="eastAsia"/>
          <w:color w:val="auto"/>
          <w:w w:val="100"/>
          <w:highlight w:val="none"/>
          <w:lang w:val="en-US" w:eastAsia="zh-CN"/>
        </w:rPr>
        <w:t>）-优先计划电量，下限为零，其中厂用电率由调度机构提供；</w:t>
      </w:r>
    </w:p>
    <w:p>
      <w:pPr>
        <w:pStyle w:val="BodyText"/>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ascii="仿宋_GB2312" w:eastAsia="仿宋_GB2312" w:hAnsi="仿宋_GB2312" w:cs="仿宋_GB2312" w:hint="eastAsia"/>
          <w:color w:val="auto"/>
          <w:w w:val="100"/>
          <w:highlight w:val="none"/>
          <w:lang w:val="en-US" w:eastAsia="zh-CN"/>
        </w:rPr>
      </w:pPr>
      <w:r>
        <w:rPr>
          <w:rFonts w:ascii="仿宋_GB2312" w:eastAsia="仿宋_GB2312" w:hAnsi="仿宋_GB2312" w:cs="仿宋_GB2312" w:hint="eastAsia"/>
          <w:color w:val="auto"/>
          <w:w w:val="100"/>
          <w:highlight w:val="none"/>
          <w:lang w:eastAsia="zh-CN"/>
        </w:rPr>
        <w:t>（</w:t>
      </w:r>
      <w:r>
        <w:rPr>
          <w:rFonts w:ascii="仿宋_GB2312" w:eastAsia="仿宋_GB2312" w:hAnsi="仿宋_GB2312" w:cs="仿宋_GB2312" w:hint="eastAsia"/>
          <w:color w:val="auto"/>
          <w:w w:val="100"/>
          <w:highlight w:val="none"/>
          <w:lang w:val="en-US" w:eastAsia="zh-CN"/>
        </w:rPr>
        <w:t>2</w:t>
      </w:r>
      <w:r>
        <w:rPr>
          <w:rFonts w:ascii="仿宋_GB2312" w:eastAsia="仿宋_GB2312" w:hAnsi="仿宋_GB2312" w:cs="仿宋_GB2312" w:hint="eastAsia"/>
          <w:color w:val="auto"/>
          <w:w w:val="100"/>
          <w:highlight w:val="none"/>
          <w:lang w:eastAsia="zh-CN"/>
        </w:rPr>
        <w:t>）电网企业、售电公司和电力批发用户交易单元各时段合同电量净值不设上限，下限为零</w:t>
      </w:r>
      <w:r>
        <w:rPr>
          <w:rFonts w:ascii="仿宋_GB2312" w:eastAsia="仿宋_GB2312" w:hAnsi="仿宋_GB2312" w:cs="仿宋_GB2312" w:hint="eastAsia"/>
          <w:color w:val="auto"/>
          <w:w w:val="100"/>
          <w:highlight w:val="none"/>
          <w:lang w:val="en-US" w:eastAsia="zh-CN"/>
        </w:rPr>
        <w:t>，</w:t>
      </w:r>
      <w:r>
        <w:rPr>
          <w:rFonts w:ascii="仿宋_GB2312" w:eastAsia="仿宋_GB2312" w:hAnsi="仿宋_GB2312" w:cs="仿宋_GB2312" w:hint="eastAsia"/>
          <w:color w:val="auto"/>
          <w:highlight w:val="none"/>
          <w:lang w:eastAsia="zh-CN"/>
        </w:rPr>
        <w:t>具备条件时，售电公司和电力批发用户交易单元各时段合同电量净值按照其代理用户（自身）注册报装容量之和执行</w:t>
      </w:r>
    </w:p>
    <w:p>
      <w:pPr>
        <w:pStyle w:val="BodyText"/>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ascii="仿宋_GB2312" w:eastAsia="仿宋_GB2312" w:hAnsi="仿宋_GB2312" w:cs="仿宋_GB2312" w:hint="eastAsia"/>
          <w:color w:val="auto"/>
          <w:w w:val="100"/>
          <w:highlight w:val="none"/>
          <w:lang w:val="en-US" w:eastAsia="zh-CN"/>
        </w:rPr>
      </w:pPr>
      <w:r>
        <w:rPr>
          <w:rFonts w:ascii="仿宋_GB2312" w:eastAsia="仿宋_GB2312" w:hAnsi="仿宋_GB2312" w:cs="仿宋_GB2312" w:hint="eastAsia"/>
          <w:color w:val="auto"/>
          <w:w w:val="100"/>
          <w:highlight w:val="none"/>
          <w:lang w:val="en-US" w:eastAsia="zh-CN"/>
        </w:rPr>
        <w:t>（3）原则上，独立储能放电交易单元各时段合同电量净值上限为其额定放电功率，独立储能充电交易单元各时段合同电量净值上限为其额定充电功率，下限均为零。</w:t>
      </w:r>
    </w:p>
    <w:p>
      <w:pPr>
        <w:pStyle w:val="BodyText"/>
        <w:pageBreakBefore w:val="0"/>
        <w:kinsoku/>
        <w:wordWrap/>
        <w:overflowPunct/>
        <w:topLinePunct w:val="0"/>
        <w:autoSpaceDE/>
        <w:autoSpaceDN/>
        <w:bidi w:val="0"/>
        <w:adjustRightInd/>
        <w:spacing w:line="560" w:lineRule="exact"/>
        <w:ind w:left="0" w:right="0" w:firstLine="640" w:firstLineChars="200"/>
        <w:jc w:val="both"/>
        <w:textAlignment w:val="auto"/>
        <w:outlineLvl w:val="2"/>
        <w:rPr>
          <w:rFonts w:ascii="仿宋_GB2312" w:eastAsia="仿宋_GB2312" w:hAnsi="仿宋_GB2312" w:cs="仿宋_GB2312" w:hint="eastAsia"/>
          <w:color w:val="auto"/>
          <w:w w:val="100"/>
          <w:highlight w:val="none"/>
          <w:lang w:eastAsia="zh-CN"/>
        </w:rPr>
      </w:pPr>
      <w:r>
        <w:rPr>
          <w:rFonts w:ascii="仿宋_GB2312" w:eastAsia="仿宋_GB2312" w:hAnsi="仿宋_GB2312" w:cs="仿宋_GB2312" w:hint="eastAsia"/>
          <w:color w:val="auto"/>
          <w:w w:val="100"/>
          <w:highlight w:val="none"/>
          <w:lang w:eastAsia="zh-CN"/>
        </w:rPr>
        <w:t>5.2.2合同电量方向</w:t>
      </w:r>
    </w:p>
    <w:p>
      <w:pPr>
        <w:pStyle w:val="BodyText"/>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ascii="仿宋_GB2312" w:eastAsia="仿宋_GB2312" w:hAnsi="仿宋_GB2312" w:cs="仿宋_GB2312" w:hint="eastAsia"/>
          <w:color w:val="auto"/>
          <w:w w:val="100"/>
          <w:highlight w:val="none"/>
          <w:lang w:eastAsia="zh-CN"/>
        </w:rPr>
      </w:pPr>
      <w:r>
        <w:rPr>
          <w:rFonts w:ascii="仿宋_GB2312" w:eastAsia="仿宋_GB2312" w:hAnsi="仿宋_GB2312" w:cs="仿宋_GB2312" w:hint="eastAsia"/>
          <w:color w:val="auto"/>
          <w:w w:val="100"/>
          <w:highlight w:val="none"/>
          <w:lang w:val="en-US" w:eastAsia="zh-CN"/>
        </w:rPr>
        <w:t>5.2.2.1</w:t>
      </w:r>
      <w:r>
        <w:rPr>
          <w:rFonts w:ascii="仿宋_GB2312" w:eastAsia="仿宋_GB2312" w:hAnsi="仿宋_GB2312" w:cs="仿宋_GB2312" w:hint="eastAsia"/>
          <w:color w:val="auto"/>
          <w:w w:val="100"/>
          <w:highlight w:val="none"/>
          <w:lang w:eastAsia="zh-CN"/>
        </w:rPr>
        <w:t>当发电侧交易单元</w:t>
      </w:r>
      <w:r>
        <w:rPr>
          <w:rFonts w:ascii="仿宋_GB2312" w:eastAsia="仿宋_GB2312" w:hAnsi="仿宋_GB2312" w:cs="仿宋_GB2312" w:hint="eastAsia"/>
          <w:color w:val="auto"/>
          <w:w w:val="100"/>
          <w:highlight w:val="none"/>
          <w:lang w:val="en-US" w:eastAsia="zh-CN"/>
        </w:rPr>
        <w:t>和</w:t>
      </w:r>
      <w:r>
        <w:rPr>
          <w:rFonts w:ascii="仿宋_GB2312" w:eastAsia="仿宋_GB2312" w:hAnsi="仿宋_GB2312" w:cs="仿宋_GB2312" w:hint="eastAsia"/>
          <w:color w:val="auto"/>
          <w:highlight w:val="none"/>
          <w:lang w:eastAsia="zh-CN"/>
        </w:rPr>
        <w:t>独立储能放电交易单元</w:t>
      </w:r>
      <w:r>
        <w:rPr>
          <w:rFonts w:ascii="仿宋_GB2312" w:eastAsia="仿宋_GB2312" w:hAnsi="仿宋_GB2312" w:cs="仿宋_GB2312" w:hint="eastAsia"/>
          <w:color w:val="auto"/>
          <w:w w:val="100"/>
          <w:highlight w:val="none"/>
          <w:lang w:eastAsia="zh-CN"/>
        </w:rPr>
        <w:t>选择买入操作时，其合同电量方向为负，选择卖出操作时，其合同电量方向为正；</w:t>
      </w:r>
    </w:p>
    <w:p>
      <w:pPr>
        <w:pStyle w:val="BodyText"/>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ascii="仿宋_GB2312" w:eastAsia="仿宋_GB2312" w:hAnsi="仿宋_GB2312" w:cs="仿宋_GB2312" w:hint="eastAsia"/>
          <w:color w:val="auto"/>
          <w:w w:val="100"/>
          <w:highlight w:val="none"/>
          <w:lang w:eastAsia="zh-CN"/>
        </w:rPr>
      </w:pPr>
      <w:r>
        <w:rPr>
          <w:rFonts w:ascii="仿宋_GB2312" w:eastAsia="仿宋_GB2312" w:hAnsi="仿宋_GB2312" w:cs="仿宋_GB2312" w:hint="eastAsia"/>
          <w:color w:val="auto"/>
          <w:w w:val="100"/>
          <w:highlight w:val="none"/>
          <w:lang w:val="en-US" w:eastAsia="zh-CN"/>
        </w:rPr>
        <w:t>5.2.2.2</w:t>
      </w:r>
      <w:r>
        <w:rPr>
          <w:rFonts w:ascii="仿宋_GB2312" w:eastAsia="仿宋_GB2312" w:hAnsi="仿宋_GB2312" w:cs="仿宋_GB2312" w:hint="eastAsia"/>
          <w:color w:val="auto"/>
          <w:w w:val="100"/>
          <w:highlight w:val="none"/>
          <w:lang w:eastAsia="zh-CN"/>
        </w:rPr>
        <w:t>当用电侧交易单元</w:t>
      </w:r>
      <w:r>
        <w:rPr>
          <w:rFonts w:ascii="仿宋_GB2312" w:eastAsia="仿宋_GB2312" w:hAnsi="仿宋_GB2312" w:cs="仿宋_GB2312" w:hint="eastAsia"/>
          <w:color w:val="auto"/>
          <w:w w:val="100"/>
          <w:highlight w:val="none"/>
          <w:lang w:val="en-US" w:eastAsia="zh-CN"/>
        </w:rPr>
        <w:t>和</w:t>
      </w:r>
      <w:r>
        <w:rPr>
          <w:rFonts w:ascii="仿宋_GB2312" w:eastAsia="仿宋_GB2312" w:hAnsi="仿宋_GB2312" w:cs="仿宋_GB2312" w:hint="eastAsia"/>
          <w:color w:val="auto"/>
          <w:highlight w:val="none"/>
          <w:lang w:eastAsia="zh-CN"/>
        </w:rPr>
        <w:t>独立储能充电交易单元</w:t>
      </w:r>
      <w:r>
        <w:rPr>
          <w:rFonts w:ascii="仿宋_GB2312" w:eastAsia="仿宋_GB2312" w:hAnsi="仿宋_GB2312" w:cs="仿宋_GB2312" w:hint="eastAsia"/>
          <w:color w:val="auto"/>
          <w:w w:val="100"/>
          <w:highlight w:val="none"/>
          <w:lang w:eastAsia="zh-CN"/>
        </w:rPr>
        <w:t>选择买入操作时，其合同电量方向为正，选择卖出操作时，其合同电量方向为负。</w:t>
      </w:r>
    </w:p>
    <w:p>
      <w:pPr>
        <w:pStyle w:val="BodyText"/>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ascii="仿宋_GB2312" w:eastAsia="仿宋_GB2312" w:hAnsi="仿宋_GB2312" w:cs="仿宋_GB2312" w:hint="eastAsia"/>
          <w:color w:val="auto"/>
          <w:highlight w:val="none"/>
          <w:lang w:eastAsia="zh-CN"/>
        </w:rPr>
      </w:pPr>
      <w:r>
        <w:rPr>
          <w:rFonts w:ascii="仿宋_GB2312" w:eastAsia="仿宋_GB2312" w:hAnsi="仿宋_GB2312" w:cs="仿宋_GB2312" w:hint="eastAsia"/>
          <w:color w:val="auto"/>
          <w:highlight w:val="none"/>
          <w:lang w:val="en-US" w:eastAsia="zh-CN"/>
        </w:rPr>
        <w:t>5.2.2.3</w:t>
      </w:r>
      <w:r>
        <w:rPr>
          <w:rFonts w:ascii="仿宋_GB2312" w:eastAsia="仿宋_GB2312" w:hAnsi="仿宋_GB2312" w:cs="仿宋_GB2312" w:hint="eastAsia"/>
          <w:color w:val="auto"/>
          <w:highlight w:val="none"/>
          <w:lang w:eastAsia="zh-CN"/>
        </w:rPr>
        <w:t>现阶段，充电和放电交易单元只允许单向交易。其中，放电交易单元只允许卖出，充电交易单元只允许买入。</w:t>
      </w:r>
    </w:p>
    <w:p>
      <w:pPr>
        <w:pStyle w:val="BodyText"/>
        <w:pageBreakBefore w:val="0"/>
        <w:kinsoku/>
        <w:wordWrap/>
        <w:overflowPunct/>
        <w:topLinePunct w:val="0"/>
        <w:autoSpaceDE/>
        <w:autoSpaceDN/>
        <w:bidi w:val="0"/>
        <w:adjustRightInd/>
        <w:spacing w:line="560" w:lineRule="exact"/>
        <w:ind w:left="0" w:right="0" w:firstLine="640" w:firstLineChars="200"/>
        <w:jc w:val="both"/>
        <w:textAlignment w:val="auto"/>
        <w:outlineLvl w:val="2"/>
        <w:rPr>
          <w:rFonts w:ascii="仿宋_GB2312" w:eastAsia="仿宋_GB2312" w:hAnsi="仿宋_GB2312" w:cs="仿宋_GB2312" w:hint="eastAsia"/>
          <w:color w:val="auto"/>
          <w:w w:val="100"/>
          <w:highlight w:val="none"/>
          <w:lang w:eastAsia="zh-CN"/>
        </w:rPr>
      </w:pPr>
      <w:r>
        <w:rPr>
          <w:rFonts w:ascii="仿宋_GB2312" w:eastAsia="仿宋_GB2312" w:hAnsi="仿宋_GB2312" w:cs="仿宋_GB2312" w:hint="eastAsia"/>
          <w:color w:val="auto"/>
          <w:w w:val="100"/>
          <w:highlight w:val="none"/>
          <w:lang w:eastAsia="zh-CN"/>
        </w:rPr>
        <w:t>5.2.3可申报电量约束</w:t>
      </w:r>
    </w:p>
    <w:p>
      <w:pPr>
        <w:pStyle w:val="BodyText"/>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3"/>
        <w:rPr>
          <w:rFonts w:ascii="仿宋_GB2312" w:eastAsia="仿宋_GB2312" w:hAnsi="仿宋_GB2312" w:cs="仿宋_GB2312" w:hint="eastAsia"/>
          <w:color w:val="auto"/>
          <w:w w:val="100"/>
          <w:highlight w:val="none"/>
          <w:lang w:eastAsia="zh-CN"/>
        </w:rPr>
      </w:pPr>
      <w:r>
        <w:rPr>
          <w:rFonts w:ascii="仿宋_GB2312" w:eastAsia="仿宋_GB2312" w:hAnsi="仿宋_GB2312" w:cs="仿宋_GB2312" w:hint="eastAsia"/>
          <w:color w:val="auto"/>
          <w:w w:val="100"/>
          <w:highlight w:val="none"/>
          <w:lang w:eastAsia="zh-CN"/>
        </w:rPr>
        <w:t>5.2.3.1定义及基本要求</w:t>
      </w:r>
    </w:p>
    <w:p>
      <w:pPr>
        <w:pStyle w:val="BodyText"/>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ascii="仿宋_GB2312" w:eastAsia="仿宋_GB2312" w:hAnsi="仿宋_GB2312" w:cs="仿宋_GB2312" w:hint="eastAsia"/>
          <w:color w:val="auto"/>
          <w:w w:val="100"/>
          <w:highlight w:val="none"/>
          <w:lang w:eastAsia="zh-CN"/>
        </w:rPr>
      </w:pPr>
      <w:r>
        <w:rPr>
          <w:rFonts w:ascii="仿宋_GB2312" w:eastAsia="仿宋_GB2312" w:hAnsi="仿宋_GB2312" w:cs="仿宋_GB2312" w:hint="eastAsia"/>
          <w:color w:val="auto"/>
          <w:w w:val="100"/>
          <w:highlight w:val="none"/>
          <w:lang w:eastAsia="zh-CN"/>
        </w:rPr>
        <w:t>5.2.3.1.1各市场成员须在可申报电量额度范围内参加中长期电能量交易。</w:t>
      </w:r>
      <w:r>
        <w:rPr>
          <w:rFonts w:ascii="仿宋_GB2312" w:eastAsia="仿宋_GB2312" w:hAnsi="仿宋_GB2312" w:cs="仿宋_GB2312" w:hint="eastAsia"/>
          <w:color w:val="auto"/>
          <w:highlight w:val="none"/>
          <w:lang w:val="en-US" w:eastAsia="zh-CN"/>
        </w:rPr>
        <w:t>现货连续运行时，优先计划电量和纳入机制的电量不再参与中长期电能量交易。</w:t>
      </w:r>
    </w:p>
    <w:p>
      <w:pPr>
        <w:pStyle w:val="BodyText"/>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ascii="仿宋_GB2312" w:eastAsia="仿宋_GB2312" w:hAnsi="仿宋_GB2312" w:cs="仿宋_GB2312" w:hint="eastAsia"/>
          <w:color w:val="auto"/>
          <w:w w:val="100"/>
          <w:highlight w:val="none"/>
          <w:lang w:eastAsia="zh-CN"/>
        </w:rPr>
      </w:pPr>
      <w:r>
        <w:rPr>
          <w:rFonts w:ascii="仿宋_GB2312" w:eastAsia="仿宋_GB2312" w:hAnsi="仿宋_GB2312" w:cs="仿宋_GB2312" w:hint="eastAsia"/>
          <w:color w:val="auto"/>
          <w:w w:val="100"/>
          <w:highlight w:val="none"/>
          <w:lang w:eastAsia="zh-CN"/>
        </w:rPr>
        <w:t>5.2.3.1.2</w:t>
      </w:r>
      <w:r>
        <w:rPr>
          <w:rFonts w:ascii="仿宋_GB2312" w:eastAsia="仿宋_GB2312" w:hAnsi="仿宋_GB2312" w:cs="仿宋_GB2312" w:hint="eastAsia"/>
          <w:color w:val="auto"/>
          <w:w w:val="100"/>
          <w:highlight w:val="none"/>
          <w:lang w:val="en-US" w:eastAsia="zh-CN"/>
        </w:rPr>
        <w:t>在满足各交易单元分时段</w:t>
      </w:r>
      <w:r>
        <w:rPr>
          <w:rFonts w:ascii="仿宋_GB2312" w:eastAsia="仿宋_GB2312" w:hAnsi="仿宋_GB2312" w:cs="仿宋_GB2312" w:hint="eastAsia"/>
          <w:color w:val="auto"/>
          <w:w w:val="100"/>
          <w:highlight w:val="none"/>
          <w:lang w:eastAsia="zh-CN"/>
        </w:rPr>
        <w:t>合同电量净值上下限</w:t>
      </w:r>
      <w:r>
        <w:rPr>
          <w:rFonts w:ascii="仿宋_GB2312" w:eastAsia="仿宋_GB2312" w:hAnsi="仿宋_GB2312" w:cs="仿宋_GB2312" w:hint="eastAsia"/>
          <w:color w:val="auto"/>
          <w:w w:val="100"/>
          <w:highlight w:val="none"/>
          <w:lang w:val="en-US" w:eastAsia="zh-CN"/>
        </w:rPr>
        <w:t>的前提下，</w:t>
      </w:r>
      <w:r>
        <w:rPr>
          <w:rFonts w:ascii="仿宋_GB2312" w:eastAsia="仿宋_GB2312" w:hAnsi="仿宋_GB2312" w:cs="仿宋_GB2312" w:hint="eastAsia"/>
          <w:color w:val="auto"/>
          <w:w w:val="100"/>
          <w:highlight w:val="none"/>
          <w:lang w:eastAsia="zh-CN"/>
        </w:rPr>
        <w:t>电力交易机构根据</w:t>
      </w:r>
      <w:r>
        <w:rPr>
          <w:rFonts w:ascii="仿宋_GB2312" w:eastAsia="仿宋_GB2312" w:hAnsi="仿宋_GB2312" w:cs="仿宋_GB2312" w:hint="eastAsia"/>
          <w:color w:val="auto"/>
          <w:w w:val="100"/>
          <w:highlight w:val="none"/>
          <w:lang w:val="en-US" w:eastAsia="zh-CN"/>
        </w:rPr>
        <w:t>各交易单元的</w:t>
      </w:r>
      <w:r>
        <w:rPr>
          <w:rFonts w:ascii="仿宋_GB2312" w:eastAsia="仿宋_GB2312" w:hAnsi="仿宋_GB2312" w:cs="仿宋_GB2312" w:hint="eastAsia"/>
          <w:color w:val="auto"/>
          <w:w w:val="100"/>
          <w:highlight w:val="none"/>
          <w:lang w:eastAsia="zh-CN"/>
        </w:rPr>
        <w:t>合同电量净值</w:t>
      </w:r>
      <w:r>
        <w:rPr>
          <w:rFonts w:ascii="仿宋_GB2312" w:eastAsia="仿宋_GB2312" w:hAnsi="仿宋_GB2312" w:cs="仿宋_GB2312" w:hint="eastAsia"/>
          <w:color w:val="auto"/>
          <w:w w:val="100"/>
          <w:highlight w:val="none"/>
          <w:lang w:val="en-US" w:eastAsia="zh-CN"/>
        </w:rPr>
        <w:t>、总</w:t>
      </w:r>
      <w:r>
        <w:rPr>
          <w:rFonts w:ascii="仿宋_GB2312" w:eastAsia="仿宋_GB2312" w:hAnsi="仿宋_GB2312" w:cs="仿宋_GB2312" w:hint="eastAsia"/>
          <w:color w:val="auto"/>
          <w:w w:val="100"/>
          <w:highlight w:val="none"/>
          <w:lang w:eastAsia="zh-CN"/>
        </w:rPr>
        <w:t>合同电量净值上下限，计算并发布其可申报电量额度。已申报未成交电量视同已成交电量纳入可申报电量计算，交易结束后根据交易结果更新。</w:t>
      </w:r>
    </w:p>
    <w:p>
      <w:pPr>
        <w:pStyle w:val="BodyText"/>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3"/>
        <w:rPr>
          <w:rFonts w:ascii="仿宋_GB2312" w:eastAsia="仿宋_GB2312" w:hAnsi="仿宋_GB2312" w:cs="仿宋_GB2312" w:hint="eastAsia"/>
          <w:color w:val="auto"/>
          <w:w w:val="100"/>
          <w:highlight w:val="none"/>
          <w:lang w:eastAsia="zh-CN"/>
        </w:rPr>
      </w:pPr>
      <w:r>
        <w:rPr>
          <w:rFonts w:ascii="仿宋_GB2312" w:eastAsia="仿宋_GB2312" w:hAnsi="仿宋_GB2312" w:cs="仿宋_GB2312" w:hint="eastAsia"/>
          <w:color w:val="auto"/>
          <w:w w:val="100"/>
          <w:highlight w:val="none"/>
          <w:lang w:eastAsia="zh-CN"/>
        </w:rPr>
        <w:t>5.2.3.2发电侧可申报电量约束</w:t>
      </w:r>
    </w:p>
    <w:p>
      <w:pPr>
        <w:pStyle w:val="BodyText"/>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ascii="仿宋_GB2312" w:eastAsia="仿宋_GB2312" w:hAnsi="仿宋_GB2312" w:cs="仿宋_GB2312" w:hint="eastAsia"/>
          <w:color w:val="auto"/>
          <w:w w:val="100"/>
          <w:highlight w:val="none"/>
          <w:lang w:eastAsia="zh-CN"/>
        </w:rPr>
      </w:pPr>
      <w:r>
        <w:rPr>
          <w:rFonts w:ascii="仿宋_GB2312" w:eastAsia="仿宋_GB2312" w:hAnsi="仿宋_GB2312" w:cs="仿宋_GB2312" w:hint="eastAsia"/>
          <w:color w:val="auto"/>
          <w:w w:val="100"/>
          <w:highlight w:val="none"/>
          <w:lang w:eastAsia="zh-CN"/>
        </w:rPr>
        <w:t>5.2.3.2.1可申报电量上限：在单笔电力交易中，进行卖出操作时，上限为其剩余最大发电能力</w:t>
      </w:r>
      <w:r>
        <w:rPr>
          <w:rStyle w:val="FootnoteReference"/>
          <w:rFonts w:ascii="仿宋_GB2312" w:eastAsia="仿宋_GB2312" w:hAnsi="仿宋_GB2312" w:cs="仿宋_GB2312" w:hint="eastAsia"/>
          <w:color w:val="auto"/>
          <w:w w:val="100"/>
          <w:highlight w:val="none"/>
          <w:lang w:eastAsia="zh-CN"/>
        </w:rPr>
        <w:footnoteReference w:id="7"/>
      </w:r>
      <w:r>
        <w:rPr>
          <w:rFonts w:ascii="仿宋_GB2312" w:eastAsia="仿宋_GB2312" w:hAnsi="仿宋_GB2312" w:cs="仿宋_GB2312" w:hint="eastAsia"/>
          <w:color w:val="auto"/>
          <w:w w:val="100"/>
          <w:highlight w:val="none"/>
          <w:lang w:eastAsia="zh-CN"/>
        </w:rPr>
        <w:t>；进行买入操作时，</w:t>
      </w:r>
      <w:r>
        <w:rPr>
          <w:rFonts w:ascii="仿宋_GB2312" w:eastAsia="仿宋_GB2312" w:hAnsi="仿宋_GB2312" w:cs="仿宋_GB2312" w:hint="eastAsia"/>
          <w:color w:val="auto"/>
          <w:w w:val="100"/>
          <w:highlight w:val="none"/>
          <w:lang w:val="en-US" w:eastAsia="zh-CN"/>
        </w:rPr>
        <w:t>在满足发电机组最小发电能力的前提下，省内</w:t>
      </w:r>
      <w:r>
        <w:rPr>
          <w:rFonts w:ascii="仿宋_GB2312" w:eastAsia="仿宋_GB2312" w:hAnsi="仿宋_GB2312" w:cs="仿宋_GB2312" w:hint="eastAsia"/>
          <w:color w:val="auto"/>
          <w:w w:val="100"/>
          <w:sz w:val="32"/>
          <w:szCs w:val="32"/>
          <w:highlight w:val="none"/>
          <w:lang w:eastAsia="zh-CN"/>
        </w:rPr>
        <w:t>中长期直接交易</w:t>
      </w:r>
      <w:r>
        <w:rPr>
          <w:rFonts w:ascii="仿宋_GB2312" w:eastAsia="仿宋_GB2312" w:hAnsi="仿宋_GB2312" w:cs="仿宋_GB2312" w:hint="eastAsia"/>
          <w:color w:val="auto"/>
          <w:w w:val="100"/>
          <w:highlight w:val="none"/>
          <w:lang w:eastAsia="zh-CN"/>
        </w:rPr>
        <w:t>上限为</w:t>
      </w:r>
      <w:r>
        <w:rPr>
          <w:rFonts w:ascii="仿宋_GB2312" w:eastAsia="仿宋_GB2312" w:hAnsi="仿宋_GB2312" w:cs="仿宋_GB2312" w:hint="eastAsia"/>
          <w:color w:val="auto"/>
          <w:w w:val="100"/>
          <w:highlight w:val="none"/>
          <w:lang w:val="en-US" w:eastAsia="zh-CN"/>
        </w:rPr>
        <w:t>交易标的内机组持有的</w:t>
      </w:r>
      <w:r>
        <w:rPr>
          <w:rFonts w:ascii="仿宋_GB2312" w:eastAsia="仿宋_GB2312" w:hAnsi="仿宋_GB2312" w:cs="仿宋_GB2312" w:hint="eastAsia"/>
          <w:color w:val="auto"/>
          <w:w w:val="100"/>
          <w:sz w:val="32"/>
          <w:szCs w:val="32"/>
          <w:highlight w:val="none"/>
          <w:lang w:eastAsia="zh-CN"/>
        </w:rPr>
        <w:t>直接交易</w:t>
      </w:r>
      <w:r>
        <w:rPr>
          <w:rFonts w:ascii="仿宋_GB2312" w:eastAsia="仿宋_GB2312" w:hAnsi="仿宋_GB2312" w:cs="仿宋_GB2312" w:hint="eastAsia"/>
          <w:color w:val="auto"/>
          <w:w w:val="100"/>
          <w:highlight w:val="none"/>
          <w:lang w:eastAsia="zh-CN"/>
        </w:rPr>
        <w:t>合同电量净值，</w:t>
      </w:r>
      <w:r>
        <w:rPr>
          <w:rFonts w:ascii="仿宋_GB2312" w:eastAsia="仿宋_GB2312" w:hAnsi="仿宋_GB2312" w:cs="仿宋_GB2312" w:hint="eastAsia"/>
          <w:color w:val="auto"/>
          <w:w w:val="100"/>
          <w:highlight w:val="none"/>
          <w:lang w:val="en-US" w:eastAsia="zh-CN"/>
        </w:rPr>
        <w:t>电网代理购电挂牌交易上限为交易标的内机组持有的代理购电合约电量净值</w:t>
      </w:r>
      <w:r>
        <w:rPr>
          <w:rFonts w:ascii="仿宋_GB2312" w:eastAsia="仿宋_GB2312" w:hAnsi="仿宋_GB2312" w:cs="仿宋_GB2312" w:hint="eastAsia"/>
          <w:color w:val="auto"/>
          <w:w w:val="100"/>
          <w:highlight w:val="none"/>
          <w:lang w:eastAsia="zh-CN"/>
        </w:rPr>
        <w:t>。</w:t>
      </w:r>
    </w:p>
    <w:p>
      <w:pPr>
        <w:pStyle w:val="BodyText"/>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ascii="仿宋_GB2312" w:eastAsia="仿宋_GB2312" w:hAnsi="仿宋_GB2312" w:cs="仿宋_GB2312" w:hint="eastAsia"/>
          <w:color w:val="auto"/>
          <w:w w:val="100"/>
          <w:highlight w:val="none"/>
          <w:lang w:eastAsia="zh-CN"/>
        </w:rPr>
      </w:pPr>
      <w:r>
        <w:rPr>
          <w:rFonts w:ascii="仿宋_GB2312" w:eastAsia="仿宋_GB2312" w:hAnsi="仿宋_GB2312" w:cs="仿宋_GB2312" w:hint="eastAsia"/>
          <w:color w:val="auto"/>
          <w:w w:val="100"/>
          <w:highlight w:val="none"/>
          <w:lang w:eastAsia="zh-CN"/>
        </w:rPr>
        <w:t>5.2.3.2.2可申报电量下限：</w:t>
      </w:r>
      <w:r>
        <w:rPr>
          <w:rFonts w:ascii="仿宋_GB2312" w:eastAsia="仿宋_GB2312" w:hAnsi="仿宋_GB2312" w:cs="仿宋_GB2312" w:hint="eastAsia"/>
          <w:color w:val="auto"/>
          <w:w w:val="100"/>
          <w:highlight w:val="none"/>
          <w:lang w:val="en-US" w:eastAsia="zh-CN"/>
        </w:rPr>
        <w:t>发电侧下限为零</w:t>
      </w:r>
      <w:r>
        <w:rPr>
          <w:rFonts w:ascii="仿宋_GB2312" w:eastAsia="仿宋_GB2312" w:hAnsi="仿宋_GB2312" w:cs="仿宋_GB2312" w:hint="eastAsia"/>
          <w:color w:val="auto"/>
          <w:w w:val="100"/>
          <w:highlight w:val="none"/>
          <w:lang w:eastAsia="zh-CN"/>
        </w:rPr>
        <w:t>。</w:t>
      </w:r>
    </w:p>
    <w:p>
      <w:pPr>
        <w:pStyle w:val="BodyText"/>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3"/>
        <w:rPr>
          <w:rFonts w:ascii="仿宋_GB2312" w:eastAsia="仿宋_GB2312" w:hAnsi="仿宋_GB2312" w:cs="仿宋_GB2312" w:hint="eastAsia"/>
          <w:color w:val="auto"/>
          <w:w w:val="100"/>
          <w:highlight w:val="none"/>
          <w:lang w:eastAsia="zh-CN"/>
        </w:rPr>
      </w:pPr>
      <w:r>
        <w:rPr>
          <w:rFonts w:ascii="仿宋_GB2312" w:eastAsia="仿宋_GB2312" w:hAnsi="仿宋_GB2312" w:cs="仿宋_GB2312" w:hint="eastAsia"/>
          <w:color w:val="auto"/>
          <w:w w:val="100"/>
          <w:highlight w:val="none"/>
          <w:lang w:eastAsia="zh-CN"/>
        </w:rPr>
        <w:t>5.2.3.3</w:t>
      </w:r>
      <w:r>
        <w:rPr>
          <w:rFonts w:ascii="仿宋_GB2312" w:eastAsia="仿宋_GB2312" w:hAnsi="仿宋_GB2312" w:cs="仿宋_GB2312" w:hint="eastAsia"/>
          <w:color w:val="auto"/>
          <w:w w:val="100"/>
          <w:highlight w:val="none"/>
          <w:lang w:val="en-US" w:eastAsia="zh-CN"/>
        </w:rPr>
        <w:t>电力</w:t>
      </w:r>
      <w:r>
        <w:rPr>
          <w:rFonts w:ascii="仿宋_GB2312" w:eastAsia="仿宋_GB2312" w:hAnsi="仿宋_GB2312" w:cs="仿宋_GB2312" w:hint="eastAsia"/>
          <w:color w:val="auto"/>
          <w:w w:val="100"/>
          <w:highlight w:val="none"/>
          <w:lang w:eastAsia="zh-CN"/>
        </w:rPr>
        <w:t>批发用户可申报电量约束</w:t>
      </w:r>
    </w:p>
    <w:p>
      <w:pPr>
        <w:pStyle w:val="BodyText"/>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ascii="仿宋_GB2312" w:eastAsia="仿宋_GB2312" w:hAnsi="仿宋_GB2312" w:cs="仿宋_GB2312" w:hint="eastAsia"/>
          <w:color w:val="auto"/>
          <w:w w:val="100"/>
          <w:highlight w:val="none"/>
          <w:lang w:eastAsia="zh-CN"/>
        </w:rPr>
      </w:pPr>
      <w:r>
        <w:rPr>
          <w:rFonts w:ascii="仿宋_GB2312" w:eastAsia="仿宋_GB2312" w:hAnsi="仿宋_GB2312" w:cs="仿宋_GB2312" w:hint="eastAsia"/>
          <w:color w:val="auto"/>
          <w:w w:val="100"/>
          <w:highlight w:val="none"/>
          <w:lang w:eastAsia="zh-CN"/>
        </w:rPr>
        <w:t>5.2.3.3.1可申报电量上限：在单笔电力交易中，进行卖出操作时，上限为其合同电量净值。进行买入操作时，上限为其剩余可交易电量额度</w:t>
      </w:r>
      <w:r>
        <w:rPr>
          <w:rStyle w:val="FootnoteReference"/>
          <w:rFonts w:ascii="仿宋_GB2312" w:eastAsia="仿宋_GB2312" w:hAnsi="仿宋_GB2312" w:cs="仿宋_GB2312" w:hint="eastAsia"/>
          <w:color w:val="auto"/>
          <w:w w:val="100"/>
          <w:highlight w:val="none"/>
          <w:lang w:eastAsia="zh-CN"/>
        </w:rPr>
        <w:footnoteReference w:id="8"/>
      </w:r>
      <w:r>
        <w:rPr>
          <w:rFonts w:ascii="仿宋_GB2312" w:eastAsia="仿宋_GB2312" w:hAnsi="仿宋_GB2312" w:cs="仿宋_GB2312" w:hint="eastAsia"/>
          <w:color w:val="auto"/>
          <w:w w:val="100"/>
          <w:highlight w:val="none"/>
          <w:lang w:eastAsia="zh-CN"/>
        </w:rPr>
        <w:t>。</w:t>
      </w:r>
    </w:p>
    <w:p>
      <w:pPr>
        <w:pStyle w:val="BodyText"/>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ascii="仿宋_GB2312" w:eastAsia="仿宋_GB2312" w:hAnsi="仿宋_GB2312" w:cs="仿宋_GB2312" w:hint="eastAsia"/>
          <w:color w:val="auto"/>
          <w:w w:val="100"/>
          <w:highlight w:val="none"/>
          <w:lang w:eastAsia="zh-CN"/>
        </w:rPr>
      </w:pPr>
      <w:r>
        <w:rPr>
          <w:rFonts w:ascii="仿宋_GB2312" w:eastAsia="仿宋_GB2312" w:hAnsi="仿宋_GB2312" w:cs="仿宋_GB2312" w:hint="eastAsia"/>
          <w:color w:val="auto"/>
          <w:w w:val="100"/>
          <w:highlight w:val="none"/>
          <w:lang w:eastAsia="zh-CN"/>
        </w:rPr>
        <w:t>5.2.3.3.2可申报电量下限：</w:t>
      </w:r>
      <w:r>
        <w:rPr>
          <w:rFonts w:ascii="仿宋_GB2312" w:eastAsia="仿宋_GB2312" w:hAnsi="仿宋_GB2312" w:cs="仿宋_GB2312" w:hint="eastAsia"/>
          <w:color w:val="auto"/>
          <w:w w:val="100"/>
          <w:highlight w:val="none"/>
          <w:lang w:val="en-US" w:eastAsia="zh-CN"/>
        </w:rPr>
        <w:t>电力批发用户下限为零</w:t>
      </w:r>
      <w:r>
        <w:rPr>
          <w:rFonts w:ascii="仿宋_GB2312" w:eastAsia="仿宋_GB2312" w:hAnsi="仿宋_GB2312" w:cs="仿宋_GB2312" w:hint="eastAsia"/>
          <w:color w:val="auto"/>
          <w:w w:val="100"/>
          <w:highlight w:val="none"/>
          <w:lang w:eastAsia="zh-CN"/>
        </w:rPr>
        <w:t>。</w:t>
      </w:r>
    </w:p>
    <w:p>
      <w:pPr>
        <w:pStyle w:val="BodyText"/>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3"/>
        <w:rPr>
          <w:rFonts w:ascii="仿宋_GB2312" w:eastAsia="仿宋_GB2312" w:hAnsi="仿宋_GB2312" w:cs="仿宋_GB2312" w:hint="eastAsia"/>
          <w:color w:val="auto"/>
          <w:w w:val="100"/>
          <w:highlight w:val="none"/>
          <w:lang w:eastAsia="zh-CN"/>
        </w:rPr>
      </w:pPr>
      <w:r>
        <w:rPr>
          <w:rFonts w:ascii="仿宋_GB2312" w:eastAsia="仿宋_GB2312" w:hAnsi="仿宋_GB2312" w:cs="仿宋_GB2312" w:hint="eastAsia"/>
          <w:color w:val="auto"/>
          <w:w w:val="100"/>
          <w:highlight w:val="none"/>
          <w:lang w:eastAsia="zh-CN"/>
        </w:rPr>
        <w:t>5.2.3.4售电公司可申报电量约束</w:t>
      </w:r>
    </w:p>
    <w:p>
      <w:pPr>
        <w:pStyle w:val="BodyText"/>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ascii="仿宋_GB2312" w:eastAsia="仿宋_GB2312" w:hAnsi="仿宋_GB2312" w:cs="仿宋_GB2312" w:hint="eastAsia"/>
          <w:color w:val="auto"/>
          <w:w w:val="100"/>
          <w:highlight w:val="none"/>
          <w:lang w:eastAsia="zh-CN"/>
        </w:rPr>
      </w:pPr>
      <w:r>
        <w:rPr>
          <w:rFonts w:ascii="仿宋_GB2312" w:eastAsia="仿宋_GB2312" w:hAnsi="仿宋_GB2312" w:cs="仿宋_GB2312" w:hint="eastAsia"/>
          <w:color w:val="auto"/>
          <w:w w:val="100"/>
          <w:highlight w:val="none"/>
          <w:lang w:eastAsia="zh-CN"/>
        </w:rPr>
        <w:t>5.2.3.4.1可申报电量上限：在单笔电力交易中，进行卖出操作时，上限</w:t>
      </w:r>
      <w:r>
        <w:rPr>
          <w:rFonts w:ascii="仿宋_GB2312" w:eastAsia="仿宋_GB2312" w:hAnsi="仿宋_GB2312" w:cs="仿宋_GB2312" w:hint="eastAsia"/>
          <w:color w:val="auto"/>
          <w:w w:val="100"/>
          <w:highlight w:val="none"/>
          <w:lang w:val="en-US" w:eastAsia="zh-CN"/>
        </w:rPr>
        <w:t>为</w:t>
      </w:r>
      <w:r>
        <w:rPr>
          <w:rFonts w:ascii="仿宋_GB2312" w:eastAsia="仿宋_GB2312" w:hAnsi="仿宋_GB2312" w:cs="仿宋_GB2312" w:hint="eastAsia"/>
          <w:color w:val="auto"/>
          <w:w w:val="100"/>
          <w:highlight w:val="none"/>
          <w:lang w:eastAsia="zh-CN"/>
        </w:rPr>
        <w:t>其合同电量净值；进行买入操作时，上限为其</w:t>
      </w:r>
      <w:r>
        <w:rPr>
          <w:rFonts w:ascii="仿宋_GB2312" w:eastAsia="仿宋_GB2312" w:hAnsi="仿宋_GB2312" w:cs="仿宋_GB2312" w:hint="eastAsia"/>
          <w:color w:val="auto"/>
          <w:w w:val="100"/>
          <w:highlight w:val="none"/>
          <w:lang w:val="en-US" w:eastAsia="zh-CN"/>
        </w:rPr>
        <w:t>年度和月度</w:t>
      </w:r>
      <w:r>
        <w:rPr>
          <w:rFonts w:ascii="仿宋_GB2312" w:eastAsia="仿宋_GB2312" w:hAnsi="仿宋_GB2312" w:cs="仿宋_GB2312" w:hint="eastAsia"/>
          <w:color w:val="auto"/>
          <w:w w:val="100"/>
          <w:highlight w:val="none"/>
          <w:lang w:eastAsia="zh-CN"/>
        </w:rPr>
        <w:t>剩余可交易电量额度</w:t>
      </w:r>
      <w:r>
        <w:rPr>
          <w:rStyle w:val="FootnoteReference"/>
          <w:rFonts w:ascii="仿宋_GB2312" w:eastAsia="仿宋_GB2312" w:hAnsi="仿宋_GB2312" w:cs="仿宋_GB2312" w:hint="eastAsia"/>
          <w:color w:val="auto"/>
          <w:w w:val="100"/>
          <w:highlight w:val="none"/>
          <w:lang w:eastAsia="zh-CN"/>
        </w:rPr>
        <w:footnoteReference w:id="9"/>
      </w:r>
      <w:r>
        <w:rPr>
          <w:rFonts w:ascii="仿宋_GB2312" w:eastAsia="仿宋_GB2312" w:hAnsi="仿宋_GB2312" w:cs="仿宋_GB2312" w:hint="eastAsia"/>
          <w:color w:val="auto"/>
          <w:w w:val="100"/>
          <w:highlight w:val="none"/>
          <w:lang w:val="en-US" w:eastAsia="zh-CN"/>
        </w:rPr>
        <w:t>两者取小</w:t>
      </w:r>
      <w:r>
        <w:rPr>
          <w:rFonts w:ascii="仿宋_GB2312" w:eastAsia="仿宋_GB2312" w:hAnsi="仿宋_GB2312" w:cs="仿宋_GB2312" w:hint="eastAsia"/>
          <w:color w:val="auto"/>
          <w:w w:val="100"/>
          <w:highlight w:val="none"/>
          <w:lang w:eastAsia="zh-CN"/>
        </w:rPr>
        <w:t>。</w:t>
      </w:r>
    </w:p>
    <w:p>
      <w:pPr>
        <w:pStyle w:val="BodyText"/>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ascii="仿宋_GB2312" w:eastAsia="仿宋_GB2312" w:hAnsi="仿宋_GB2312" w:cs="仿宋_GB2312" w:hint="eastAsia"/>
          <w:color w:val="auto"/>
          <w:w w:val="100"/>
          <w:highlight w:val="none"/>
          <w:lang w:eastAsia="zh-CN"/>
        </w:rPr>
      </w:pPr>
      <w:r>
        <w:rPr>
          <w:rFonts w:ascii="仿宋_GB2312" w:eastAsia="仿宋_GB2312" w:hAnsi="仿宋_GB2312" w:cs="仿宋_GB2312" w:hint="eastAsia"/>
          <w:color w:val="auto"/>
          <w:w w:val="100"/>
          <w:highlight w:val="none"/>
          <w:lang w:eastAsia="zh-CN"/>
        </w:rPr>
        <w:t>5.2.3.4.2可申报电量下限：</w:t>
      </w:r>
      <w:r>
        <w:rPr>
          <w:rFonts w:ascii="仿宋_GB2312" w:eastAsia="仿宋_GB2312" w:hAnsi="仿宋_GB2312" w:cs="仿宋_GB2312" w:hint="eastAsia"/>
          <w:color w:val="auto"/>
          <w:w w:val="100"/>
          <w:highlight w:val="none"/>
          <w:lang w:val="en-US" w:eastAsia="zh-CN"/>
        </w:rPr>
        <w:t>售电公司下限为零</w:t>
      </w:r>
      <w:r>
        <w:rPr>
          <w:rFonts w:ascii="仿宋_GB2312" w:eastAsia="仿宋_GB2312" w:hAnsi="仿宋_GB2312" w:cs="仿宋_GB2312" w:hint="eastAsia"/>
          <w:color w:val="auto"/>
          <w:w w:val="100"/>
          <w:highlight w:val="none"/>
          <w:lang w:eastAsia="zh-CN"/>
        </w:rPr>
        <w:t>。</w:t>
      </w:r>
    </w:p>
    <w:p>
      <w:pPr>
        <w:pStyle w:val="BodyText"/>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3"/>
        <w:rPr>
          <w:rFonts w:ascii="仿宋_GB2312" w:eastAsia="仿宋_GB2312" w:hAnsi="仿宋_GB2312" w:cs="仿宋_GB2312" w:hint="eastAsia"/>
          <w:color w:val="auto"/>
          <w:spacing w:val="0"/>
          <w:w w:val="100"/>
          <w:highlight w:val="none"/>
          <w:lang w:val="en-US" w:eastAsia="zh-CN"/>
        </w:rPr>
      </w:pPr>
      <w:r>
        <w:rPr>
          <w:rFonts w:ascii="仿宋_GB2312" w:eastAsia="仿宋_GB2312" w:hAnsi="仿宋_GB2312" w:cs="仿宋_GB2312" w:hint="eastAsia"/>
          <w:color w:val="auto"/>
          <w:spacing w:val="0"/>
          <w:w w:val="100"/>
          <w:highlight w:val="none"/>
          <w:lang w:val="en-US" w:eastAsia="zh-CN"/>
        </w:rPr>
        <w:t>5.2.3.5电网企业可申报电量约束</w:t>
      </w:r>
    </w:p>
    <w:p>
      <w:pPr>
        <w:pStyle w:val="BodyText"/>
        <w:pageBreakBefore w:val="0"/>
        <w:kinsoku/>
        <w:wordWrap/>
        <w:overflowPunct/>
        <w:topLinePunct w:val="0"/>
        <w:autoSpaceDE/>
        <w:autoSpaceDN/>
        <w:bidi w:val="0"/>
        <w:adjustRightInd/>
        <w:spacing w:line="560" w:lineRule="exact"/>
        <w:ind w:left="0" w:right="0" w:firstLine="640" w:firstLineChars="200"/>
        <w:jc w:val="both"/>
        <w:textAlignment w:val="auto"/>
        <w:outlineLvl w:val="9"/>
        <w:rPr>
          <w:rFonts w:ascii="仿宋_GB2312" w:eastAsia="仿宋_GB2312" w:hAnsi="仿宋_GB2312" w:cs="仿宋_GB2312" w:hint="eastAsia"/>
          <w:color w:val="auto"/>
          <w:w w:val="100"/>
          <w:highlight w:val="none"/>
          <w:lang w:eastAsia="zh-CN"/>
        </w:rPr>
      </w:pPr>
      <w:r>
        <w:rPr>
          <w:rFonts w:ascii="仿宋_GB2312" w:eastAsia="仿宋_GB2312" w:hAnsi="仿宋_GB2312" w:cs="仿宋_GB2312" w:hint="eastAsia"/>
          <w:color w:val="auto"/>
          <w:w w:val="100"/>
          <w:highlight w:val="none"/>
          <w:lang w:eastAsia="zh-CN"/>
        </w:rPr>
        <w:t>5.2.3.5.1可申报电量上限：在单笔电力交易中，进行卖出操作时，上限</w:t>
      </w:r>
      <w:r>
        <w:rPr>
          <w:rFonts w:ascii="仿宋_GB2312" w:eastAsia="仿宋_GB2312" w:hAnsi="仿宋_GB2312" w:cs="仿宋_GB2312" w:hint="eastAsia"/>
          <w:color w:val="auto"/>
          <w:w w:val="100"/>
          <w:highlight w:val="none"/>
          <w:lang w:val="en-US" w:eastAsia="zh-CN"/>
        </w:rPr>
        <w:t>为</w:t>
      </w:r>
      <w:r>
        <w:rPr>
          <w:rFonts w:ascii="仿宋_GB2312" w:eastAsia="仿宋_GB2312" w:hAnsi="仿宋_GB2312" w:cs="仿宋_GB2312" w:hint="eastAsia"/>
          <w:color w:val="auto"/>
          <w:w w:val="100"/>
          <w:highlight w:val="none"/>
          <w:lang w:eastAsia="zh-CN"/>
        </w:rPr>
        <w:t>其合同电量净值；进行买入操作时，</w:t>
      </w:r>
      <w:r>
        <w:rPr>
          <w:rFonts w:ascii="仿宋_GB2312" w:eastAsia="仿宋_GB2312" w:hAnsi="仿宋_GB2312" w:cs="仿宋_GB2312" w:hint="eastAsia"/>
          <w:color w:val="auto"/>
          <w:w w:val="100"/>
          <w:highlight w:val="none"/>
          <w:lang w:val="en-US" w:eastAsia="zh-CN"/>
        </w:rPr>
        <w:t>不设上限</w:t>
      </w:r>
      <w:r>
        <w:rPr>
          <w:rFonts w:ascii="仿宋_GB2312" w:eastAsia="仿宋_GB2312" w:hAnsi="仿宋_GB2312" w:cs="仿宋_GB2312" w:hint="eastAsia"/>
          <w:color w:val="auto"/>
          <w:w w:val="100"/>
          <w:highlight w:val="none"/>
          <w:lang w:eastAsia="zh-CN"/>
        </w:rPr>
        <w:t>。</w:t>
      </w:r>
    </w:p>
    <w:p>
      <w:pPr>
        <w:pStyle w:val="BodyText"/>
        <w:pageBreakBefore w:val="0"/>
        <w:kinsoku/>
        <w:wordWrap/>
        <w:overflowPunct/>
        <w:topLinePunct w:val="0"/>
        <w:autoSpaceDE/>
        <w:autoSpaceDN/>
        <w:bidi w:val="0"/>
        <w:adjustRightInd/>
        <w:spacing w:line="560" w:lineRule="exact"/>
        <w:ind w:left="0" w:right="0" w:firstLine="640" w:firstLineChars="200"/>
        <w:jc w:val="both"/>
        <w:textAlignment w:val="auto"/>
        <w:outlineLvl w:val="9"/>
        <w:rPr>
          <w:rFonts w:ascii="仿宋_GB2312" w:eastAsia="仿宋_GB2312" w:hAnsi="仿宋_GB2312" w:cs="仿宋_GB2312" w:hint="eastAsia"/>
          <w:color w:val="auto"/>
          <w:w w:val="100"/>
          <w:highlight w:val="none"/>
          <w:lang w:eastAsia="zh-CN"/>
        </w:rPr>
      </w:pPr>
      <w:r>
        <w:rPr>
          <w:rFonts w:ascii="仿宋_GB2312" w:eastAsia="仿宋_GB2312" w:hAnsi="仿宋_GB2312" w:cs="仿宋_GB2312" w:hint="eastAsia"/>
          <w:color w:val="auto"/>
          <w:w w:val="100"/>
          <w:highlight w:val="none"/>
          <w:lang w:eastAsia="zh-CN"/>
        </w:rPr>
        <w:t>5.2.3.</w:t>
      </w:r>
      <w:r>
        <w:rPr>
          <w:rFonts w:ascii="仿宋_GB2312" w:eastAsia="仿宋_GB2312" w:hAnsi="仿宋_GB2312" w:cs="仿宋_GB2312" w:hint="eastAsia"/>
          <w:color w:val="auto"/>
          <w:w w:val="100"/>
          <w:highlight w:val="none"/>
          <w:lang w:val="en-US" w:eastAsia="zh-CN"/>
        </w:rPr>
        <w:t>5</w:t>
      </w:r>
      <w:r>
        <w:rPr>
          <w:rFonts w:ascii="仿宋_GB2312" w:eastAsia="仿宋_GB2312" w:hAnsi="仿宋_GB2312" w:cs="仿宋_GB2312" w:hint="eastAsia"/>
          <w:color w:val="auto"/>
          <w:w w:val="100"/>
          <w:highlight w:val="none"/>
          <w:lang w:eastAsia="zh-CN"/>
        </w:rPr>
        <w:t>.2可申报电量下限：</w:t>
      </w:r>
      <w:r>
        <w:rPr>
          <w:rFonts w:ascii="仿宋_GB2312" w:eastAsia="仿宋_GB2312" w:hAnsi="仿宋_GB2312" w:cs="仿宋_GB2312" w:hint="eastAsia"/>
          <w:color w:val="auto"/>
          <w:w w:val="100"/>
          <w:highlight w:val="none"/>
          <w:lang w:val="en-US" w:eastAsia="zh-CN"/>
        </w:rPr>
        <w:t>电网企业下限为零</w:t>
      </w:r>
      <w:r>
        <w:rPr>
          <w:rFonts w:ascii="仿宋_GB2312" w:eastAsia="仿宋_GB2312" w:hAnsi="仿宋_GB2312" w:cs="仿宋_GB2312" w:hint="eastAsia"/>
          <w:color w:val="auto"/>
          <w:w w:val="100"/>
          <w:highlight w:val="none"/>
          <w:lang w:eastAsia="zh-CN"/>
        </w:rPr>
        <w:t>。</w:t>
      </w:r>
    </w:p>
    <w:p>
      <w:pPr>
        <w:pStyle w:val="BodyText"/>
        <w:pageBreakBefore w:val="0"/>
        <w:kinsoku/>
        <w:wordWrap/>
        <w:overflowPunct/>
        <w:topLinePunct w:val="0"/>
        <w:autoSpaceDE/>
        <w:autoSpaceDN/>
        <w:bidi w:val="0"/>
        <w:adjustRightInd/>
        <w:spacing w:line="560" w:lineRule="exact"/>
        <w:ind w:left="0" w:right="0" w:firstLine="640" w:firstLineChars="200"/>
        <w:jc w:val="both"/>
        <w:textAlignment w:val="auto"/>
        <w:outlineLvl w:val="3"/>
        <w:rPr>
          <w:rFonts w:ascii="仿宋_GB2312" w:eastAsia="仿宋_GB2312" w:hAnsi="仿宋_GB2312" w:cs="仿宋_GB2312" w:hint="eastAsia"/>
          <w:color w:val="auto"/>
          <w:w w:val="100"/>
          <w:highlight w:val="none"/>
          <w:lang w:val="en-US" w:eastAsia="zh-CN"/>
        </w:rPr>
      </w:pPr>
      <w:r>
        <w:rPr>
          <w:rFonts w:ascii="仿宋_GB2312" w:eastAsia="仿宋_GB2312" w:hAnsi="仿宋_GB2312" w:cs="仿宋_GB2312" w:hint="eastAsia"/>
          <w:color w:val="auto"/>
          <w:w w:val="100"/>
          <w:highlight w:val="none"/>
          <w:lang w:val="en-US" w:eastAsia="zh-CN"/>
        </w:rPr>
        <w:t>5.2.3.6独立储能可申报电量约束</w:t>
      </w:r>
    </w:p>
    <w:p>
      <w:pPr>
        <w:pStyle w:val="BodyText"/>
        <w:pageBreakBefore w:val="0"/>
        <w:kinsoku/>
        <w:wordWrap/>
        <w:overflowPunct/>
        <w:topLinePunct w:val="0"/>
        <w:autoSpaceDE/>
        <w:autoSpaceDN/>
        <w:bidi w:val="0"/>
        <w:adjustRightInd/>
        <w:spacing w:line="560" w:lineRule="exact"/>
        <w:ind w:left="0" w:right="0" w:firstLine="640" w:firstLineChars="200"/>
        <w:jc w:val="both"/>
        <w:textAlignment w:val="auto"/>
        <w:outlineLvl w:val="9"/>
        <w:rPr>
          <w:rFonts w:ascii="仿宋_GB2312" w:eastAsia="仿宋_GB2312" w:hAnsi="仿宋_GB2312" w:cs="仿宋_GB2312" w:hint="eastAsia"/>
          <w:color w:val="auto"/>
          <w:w w:val="100"/>
          <w:highlight w:val="none"/>
          <w:lang w:eastAsia="zh-CN"/>
        </w:rPr>
      </w:pPr>
      <w:r>
        <w:rPr>
          <w:rFonts w:ascii="仿宋_GB2312" w:eastAsia="仿宋_GB2312" w:hAnsi="仿宋_GB2312" w:cs="仿宋_GB2312" w:hint="eastAsia"/>
          <w:color w:val="auto"/>
          <w:w w:val="100"/>
          <w:highlight w:val="none"/>
          <w:lang w:val="en-US" w:eastAsia="zh-CN"/>
        </w:rPr>
        <w:t>5.2.3.6.1</w:t>
      </w:r>
      <w:r>
        <w:rPr>
          <w:rFonts w:ascii="仿宋_GB2312" w:eastAsia="仿宋_GB2312" w:hAnsi="仿宋_GB2312" w:cs="仿宋_GB2312" w:hint="eastAsia"/>
          <w:color w:val="auto"/>
          <w:w w:val="100"/>
          <w:highlight w:val="none"/>
          <w:lang w:eastAsia="zh-CN"/>
        </w:rPr>
        <w:t>可申报电量上限：在单笔电力交易中，进行卖出操作时，独立储能充电交易单元上限</w:t>
      </w:r>
      <w:r>
        <w:rPr>
          <w:rFonts w:ascii="仿宋_GB2312" w:eastAsia="仿宋_GB2312" w:hAnsi="仿宋_GB2312" w:cs="仿宋_GB2312" w:hint="eastAsia"/>
          <w:color w:val="auto"/>
          <w:w w:val="100"/>
          <w:highlight w:val="none"/>
          <w:lang w:val="en-US" w:eastAsia="zh-CN"/>
        </w:rPr>
        <w:t>为</w:t>
      </w:r>
      <w:r>
        <w:rPr>
          <w:rFonts w:ascii="仿宋_GB2312" w:eastAsia="仿宋_GB2312" w:hAnsi="仿宋_GB2312" w:cs="仿宋_GB2312" w:hint="eastAsia"/>
          <w:color w:val="auto"/>
          <w:w w:val="100"/>
          <w:highlight w:val="none"/>
          <w:lang w:eastAsia="zh-CN"/>
        </w:rPr>
        <w:t>其合同电量净值，独立储能放电交易单元</w:t>
      </w:r>
      <w:r>
        <w:rPr>
          <w:rFonts w:ascii="仿宋_GB2312" w:eastAsia="仿宋_GB2312" w:hAnsi="仿宋_GB2312" w:cs="仿宋_GB2312" w:hint="eastAsia"/>
          <w:color w:val="auto"/>
          <w:w w:val="100"/>
          <w:highlight w:val="none"/>
          <w:lang w:val="en-US" w:eastAsia="zh-CN"/>
        </w:rPr>
        <w:t>上限为其剩余可交易电量额度=min{该时段剩余可交易电量额度</w:t>
      </w:r>
      <w:r>
        <w:rPr>
          <w:rFonts w:ascii="仿宋_GB2312" w:eastAsia="仿宋_GB2312" w:hAnsi="仿宋_GB2312" w:cs="仿宋_GB2312" w:hint="eastAsia"/>
          <w:color w:val="auto"/>
          <w:w w:val="100"/>
          <w:highlight w:val="none"/>
          <w:vertAlign w:val="superscript"/>
          <w:lang w:val="en-US" w:eastAsia="zh-CN"/>
        </w:rPr>
        <w:footnoteReference w:id="10"/>
      </w:r>
      <w:r>
        <w:rPr>
          <w:rFonts w:ascii="仿宋_GB2312" w:eastAsia="仿宋_GB2312" w:hAnsi="仿宋_GB2312" w:cs="仿宋_GB2312" w:hint="eastAsia"/>
          <w:color w:val="auto"/>
          <w:w w:val="100"/>
          <w:highlight w:val="none"/>
          <w:lang w:val="en-US" w:eastAsia="zh-CN"/>
        </w:rPr>
        <w:t>，月度剩余可交易电量额度}，负数时为0</w:t>
      </w:r>
      <w:r>
        <w:rPr>
          <w:rFonts w:ascii="仿宋_GB2312" w:eastAsia="仿宋_GB2312" w:hAnsi="仿宋_GB2312" w:cs="仿宋_GB2312" w:hint="eastAsia"/>
          <w:color w:val="auto"/>
          <w:w w:val="100"/>
          <w:highlight w:val="none"/>
          <w:lang w:eastAsia="zh-CN"/>
        </w:rPr>
        <w:t>；进行买入操作时，独立储能</w:t>
      </w:r>
      <w:r>
        <w:rPr>
          <w:rFonts w:ascii="仿宋_GB2312" w:eastAsia="仿宋_GB2312" w:hAnsi="仿宋_GB2312" w:cs="仿宋_GB2312" w:hint="eastAsia"/>
          <w:color w:val="auto"/>
          <w:w w:val="100"/>
          <w:highlight w:val="none"/>
          <w:lang w:val="en-US" w:eastAsia="zh-CN"/>
        </w:rPr>
        <w:t>放</w:t>
      </w:r>
      <w:r>
        <w:rPr>
          <w:rFonts w:ascii="仿宋_GB2312" w:eastAsia="仿宋_GB2312" w:hAnsi="仿宋_GB2312" w:cs="仿宋_GB2312" w:hint="eastAsia"/>
          <w:color w:val="auto"/>
          <w:w w:val="100"/>
          <w:highlight w:val="none"/>
          <w:lang w:eastAsia="zh-CN"/>
        </w:rPr>
        <w:t>电交易单元上限</w:t>
      </w:r>
      <w:r>
        <w:rPr>
          <w:rFonts w:ascii="仿宋_GB2312" w:eastAsia="仿宋_GB2312" w:hAnsi="仿宋_GB2312" w:cs="仿宋_GB2312" w:hint="eastAsia"/>
          <w:color w:val="auto"/>
          <w:w w:val="100"/>
          <w:highlight w:val="none"/>
          <w:lang w:val="en-US" w:eastAsia="zh-CN"/>
        </w:rPr>
        <w:t>为</w:t>
      </w:r>
      <w:r>
        <w:rPr>
          <w:rFonts w:ascii="仿宋_GB2312" w:eastAsia="仿宋_GB2312" w:hAnsi="仿宋_GB2312" w:cs="仿宋_GB2312" w:hint="eastAsia"/>
          <w:color w:val="auto"/>
          <w:w w:val="100"/>
          <w:highlight w:val="none"/>
          <w:lang w:eastAsia="zh-CN"/>
        </w:rPr>
        <w:t>其合同电量净值，独立储能充电交易单元</w:t>
      </w:r>
      <w:r>
        <w:rPr>
          <w:rFonts w:ascii="仿宋_GB2312" w:eastAsia="仿宋_GB2312" w:hAnsi="仿宋_GB2312" w:cs="仿宋_GB2312" w:hint="eastAsia"/>
          <w:color w:val="auto"/>
          <w:w w:val="100"/>
          <w:highlight w:val="none"/>
          <w:lang w:val="en-US" w:eastAsia="zh-CN"/>
        </w:rPr>
        <w:t>上限为其剩余可交易电量额度=min{该时段剩余可交易电量额度，月度剩余可交易电量额度}，负数时为0。</w:t>
      </w:r>
    </w:p>
    <w:p>
      <w:pPr>
        <w:pStyle w:val="BodyText"/>
        <w:pageBreakBefore w:val="0"/>
        <w:kinsoku/>
        <w:wordWrap/>
        <w:overflowPunct/>
        <w:topLinePunct w:val="0"/>
        <w:autoSpaceDE/>
        <w:autoSpaceDN/>
        <w:bidi w:val="0"/>
        <w:adjustRightInd/>
        <w:spacing w:line="560" w:lineRule="exact"/>
        <w:ind w:left="0" w:right="0" w:firstLine="640" w:firstLineChars="200"/>
        <w:jc w:val="both"/>
        <w:textAlignment w:val="auto"/>
        <w:outlineLvl w:val="9"/>
        <w:rPr>
          <w:rFonts w:ascii="仿宋_GB2312" w:eastAsia="仿宋_GB2312" w:hAnsi="仿宋_GB2312" w:cs="仿宋_GB2312" w:hint="default"/>
          <w:color w:val="auto"/>
          <w:w w:val="100"/>
          <w:highlight w:val="none"/>
          <w:lang w:val="en-US" w:eastAsia="zh-CN"/>
        </w:rPr>
      </w:pPr>
      <w:r>
        <w:rPr>
          <w:rFonts w:ascii="仿宋_GB2312" w:eastAsia="仿宋_GB2312" w:hAnsi="仿宋_GB2312" w:cs="仿宋_GB2312" w:hint="eastAsia"/>
          <w:color w:val="auto"/>
          <w:w w:val="100"/>
          <w:highlight w:val="none"/>
          <w:lang w:eastAsia="zh-CN"/>
        </w:rPr>
        <w:t>5.2.3.</w:t>
      </w:r>
      <w:r>
        <w:rPr>
          <w:rFonts w:ascii="仿宋_GB2312" w:eastAsia="仿宋_GB2312" w:hAnsi="仿宋_GB2312" w:cs="仿宋_GB2312" w:hint="eastAsia"/>
          <w:color w:val="auto"/>
          <w:w w:val="100"/>
          <w:highlight w:val="none"/>
          <w:lang w:val="en-US" w:eastAsia="zh-CN"/>
        </w:rPr>
        <w:t>6</w:t>
      </w:r>
      <w:r>
        <w:rPr>
          <w:rFonts w:ascii="仿宋_GB2312" w:eastAsia="仿宋_GB2312" w:hAnsi="仿宋_GB2312" w:cs="仿宋_GB2312" w:hint="eastAsia"/>
          <w:color w:val="auto"/>
          <w:w w:val="100"/>
          <w:highlight w:val="none"/>
          <w:lang w:eastAsia="zh-CN"/>
        </w:rPr>
        <w:t>.2可申报电量下限：</w:t>
      </w:r>
      <w:r>
        <w:rPr>
          <w:rFonts w:ascii="仿宋_GB2312" w:eastAsia="仿宋_GB2312" w:hAnsi="仿宋_GB2312" w:cs="仿宋_GB2312" w:hint="eastAsia"/>
          <w:color w:val="auto"/>
          <w:w w:val="100"/>
          <w:highlight w:val="none"/>
          <w:lang w:val="en-US" w:eastAsia="zh-CN"/>
        </w:rPr>
        <w:t>独立储能充电和放电交易单元下限均为零。</w:t>
      </w:r>
    </w:p>
    <w:p>
      <w:pPr>
        <w:pStyle w:val="BodyText"/>
        <w:pageBreakBefore w:val="0"/>
        <w:kinsoku/>
        <w:wordWrap/>
        <w:overflowPunct/>
        <w:topLinePunct w:val="0"/>
        <w:autoSpaceDE/>
        <w:autoSpaceDN/>
        <w:bidi w:val="0"/>
        <w:adjustRightInd/>
        <w:spacing w:line="560" w:lineRule="exact"/>
        <w:ind w:left="0" w:right="0" w:firstLine="640" w:firstLineChars="200"/>
        <w:jc w:val="both"/>
        <w:textAlignment w:val="auto"/>
        <w:outlineLvl w:val="1"/>
        <w:rPr>
          <w:rFonts w:ascii="仿宋_GB2312" w:eastAsia="仿宋_GB2312" w:hAnsi="仿宋_GB2312" w:cs="仿宋_GB2312"/>
          <w:b/>
          <w:bCs/>
          <w:color w:val="auto"/>
          <w:w w:val="100"/>
          <w:highlight w:val="none"/>
          <w:lang w:eastAsia="zh-CN"/>
        </w:rPr>
      </w:pPr>
      <w:r>
        <w:rPr>
          <w:rFonts w:ascii="仿宋_GB2312" w:eastAsia="仿宋_GB2312" w:hAnsi="仿宋_GB2312" w:cs="仿宋_GB2312" w:hint="eastAsia"/>
          <w:b/>
          <w:bCs/>
          <w:color w:val="auto"/>
          <w:w w:val="100"/>
          <w:highlight w:val="none"/>
          <w:lang w:eastAsia="zh-CN"/>
        </w:rPr>
        <w:t>5.3</w:t>
      </w:r>
      <w:r>
        <w:rPr>
          <w:rFonts w:ascii="仿宋_GB2312" w:eastAsia="仿宋_GB2312" w:hAnsi="仿宋_GB2312" w:cs="仿宋_GB2312" w:hint="eastAsia"/>
          <w:b/>
          <w:bCs/>
          <w:color w:val="auto"/>
          <w:spacing w:val="1"/>
          <w:w w:val="100"/>
          <w:highlight w:val="none"/>
          <w:lang w:eastAsia="zh-CN"/>
        </w:rPr>
        <w:t>交易组</w:t>
      </w:r>
      <w:r>
        <w:rPr>
          <w:rFonts w:ascii="仿宋_GB2312" w:eastAsia="仿宋_GB2312" w:hAnsi="仿宋_GB2312" w:cs="仿宋_GB2312" w:hint="eastAsia"/>
          <w:b/>
          <w:bCs/>
          <w:color w:val="auto"/>
          <w:w w:val="100"/>
          <w:highlight w:val="none"/>
          <w:lang w:eastAsia="zh-CN"/>
        </w:rPr>
        <w:t>织流程</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2"/>
        <w:rPr>
          <w:rFonts w:ascii="仿宋_GB2312" w:eastAsia="仿宋_GB2312" w:hAnsi="仿宋_GB2312" w:cs="仿宋_GB2312" w:hint="eastAsia"/>
          <w:b w:val="0"/>
          <w:bCs w:val="0"/>
          <w:color w:val="auto"/>
          <w:w w:val="100"/>
          <w:kern w:val="0"/>
          <w:sz w:val="32"/>
          <w:szCs w:val="32"/>
          <w:highlight w:val="none"/>
          <w:lang w:val="en-US" w:eastAsia="zh-CN" w:bidi="ar"/>
        </w:rPr>
      </w:pPr>
      <w:r>
        <w:rPr>
          <w:rFonts w:ascii="仿宋_GB2312" w:eastAsia="仿宋_GB2312" w:hAnsi="仿宋_GB2312" w:cs="仿宋_GB2312" w:hint="eastAsia"/>
          <w:color w:val="auto"/>
          <w:sz w:val="32"/>
          <w:szCs w:val="32"/>
          <w:highlight w:val="none"/>
          <w:lang w:val="en-US" w:eastAsia="zh-CN" w:bidi="ar"/>
        </w:rPr>
        <w:t>海南</w:t>
      </w:r>
      <w:r>
        <w:rPr>
          <w:rFonts w:ascii="仿宋_GB2312" w:eastAsia="仿宋_GB2312" w:hAnsi="仿宋_GB2312" w:cs="仿宋_GB2312" w:hint="eastAsia"/>
          <w:color w:val="auto"/>
          <w:sz w:val="32"/>
          <w:szCs w:val="32"/>
          <w:highlight w:val="none"/>
          <w:lang w:eastAsia="zh-CN" w:bidi="ar"/>
        </w:rPr>
        <w:t>电力交易</w:t>
      </w:r>
      <w:r>
        <w:rPr>
          <w:rFonts w:ascii="仿宋_GB2312" w:eastAsia="仿宋_GB2312" w:hAnsi="仿宋_GB2312" w:cs="仿宋_GB2312" w:hint="eastAsia"/>
          <w:color w:val="auto"/>
          <w:sz w:val="32"/>
          <w:szCs w:val="32"/>
          <w:highlight w:val="none"/>
          <w:lang w:val="en-US" w:eastAsia="zh-CN" w:bidi="ar"/>
        </w:rPr>
        <w:t>中心</w:t>
      </w:r>
      <w:r>
        <w:rPr>
          <w:rFonts w:ascii="仿宋_GB2312" w:eastAsia="仿宋_GB2312" w:hAnsi="仿宋_GB2312" w:cs="仿宋_GB2312" w:hint="eastAsia"/>
          <w:color w:val="auto"/>
          <w:sz w:val="32"/>
          <w:szCs w:val="32"/>
          <w:highlight w:val="none"/>
          <w:lang w:eastAsia="zh-CN" w:bidi="ar"/>
        </w:rPr>
        <w:t>根据</w:t>
      </w:r>
      <w:r>
        <w:rPr>
          <w:rFonts w:ascii="仿宋_GB2312" w:eastAsia="仿宋_GB2312" w:hAnsi="仿宋_GB2312" w:cs="仿宋_GB2312" w:hint="eastAsia"/>
          <w:color w:val="auto"/>
          <w:sz w:val="32"/>
          <w:szCs w:val="32"/>
          <w:highlight w:val="none"/>
          <w:lang w:val="en-US" w:eastAsia="zh-CN" w:bidi="ar"/>
        </w:rPr>
        <w:t>省内</w:t>
      </w:r>
      <w:r>
        <w:rPr>
          <w:rFonts w:ascii="仿宋_GB2312" w:eastAsia="仿宋_GB2312" w:hAnsi="仿宋_GB2312" w:cs="仿宋_GB2312" w:hint="eastAsia"/>
          <w:color w:val="auto"/>
          <w:sz w:val="32"/>
          <w:szCs w:val="32"/>
          <w:highlight w:val="none"/>
          <w:lang w:eastAsia="zh-CN" w:bidi="ar"/>
        </w:rPr>
        <w:t>电力市场化交易有关事项的通知进行</w:t>
      </w:r>
      <w:r>
        <w:rPr>
          <w:rFonts w:ascii="仿宋_GB2312" w:eastAsia="仿宋_GB2312" w:hAnsi="仿宋_GB2312" w:cs="仿宋_GB2312" w:hint="eastAsia"/>
          <w:color w:val="auto"/>
          <w:sz w:val="32"/>
          <w:szCs w:val="32"/>
          <w:highlight w:val="none"/>
          <w:lang w:val="en-US" w:eastAsia="zh-CN" w:bidi="ar"/>
        </w:rPr>
        <w:t>省</w:t>
      </w:r>
      <w:r>
        <w:rPr>
          <w:rFonts w:ascii="仿宋_GB2312" w:eastAsia="仿宋_GB2312" w:hAnsi="仿宋_GB2312" w:cs="仿宋_GB2312" w:hint="eastAsia"/>
          <w:color w:val="auto"/>
          <w:sz w:val="32"/>
          <w:szCs w:val="32"/>
          <w:highlight w:val="none"/>
          <w:lang w:eastAsia="zh-CN" w:bidi="ar"/>
        </w:rPr>
        <w:t>内电力中长期交易准备。交易参数原则上在交易开始前一个</w:t>
      </w:r>
      <w:r>
        <w:rPr>
          <w:rFonts w:ascii="仿宋_GB2312" w:eastAsia="仿宋_GB2312" w:hAnsi="仿宋_GB2312" w:cs="仿宋_GB2312" w:hint="eastAsia"/>
          <w:color w:val="auto"/>
          <w:sz w:val="32"/>
          <w:szCs w:val="32"/>
          <w:highlight w:val="none"/>
          <w:lang w:val="en-US" w:eastAsia="zh-CN" w:bidi="ar"/>
        </w:rPr>
        <w:t>自然</w:t>
      </w:r>
      <w:r>
        <w:rPr>
          <w:rFonts w:ascii="仿宋_GB2312" w:eastAsia="仿宋_GB2312" w:hAnsi="仿宋_GB2312" w:cs="仿宋_GB2312" w:hint="eastAsia"/>
          <w:color w:val="auto"/>
          <w:sz w:val="32"/>
          <w:szCs w:val="32"/>
          <w:highlight w:val="none"/>
          <w:lang w:eastAsia="zh-CN" w:bidi="ar"/>
        </w:rPr>
        <w:t>日进行锁定。交易参数包括：具备交易资格的交易单元信息、合同电量净值上下限等。</w:t>
      </w:r>
      <w:r>
        <w:rPr>
          <w:rFonts w:ascii="仿宋_GB2312" w:eastAsia="仿宋_GB2312" w:hAnsi="仿宋_GB2312" w:cs="仿宋_GB2312" w:hint="eastAsia"/>
          <w:color w:val="auto"/>
          <w:sz w:val="32"/>
          <w:szCs w:val="32"/>
          <w:highlight w:val="none"/>
          <w:lang w:val="en-US" w:eastAsia="zh-CN" w:bidi="ar"/>
        </w:rPr>
        <w:t>对于</w:t>
      </w:r>
      <w:r>
        <w:rPr>
          <w:rFonts w:ascii="仿宋_GB2312" w:eastAsia="仿宋_GB2312" w:hAnsi="仿宋_GB2312" w:cs="仿宋_GB2312" w:hint="eastAsia"/>
          <w:color w:val="auto"/>
          <w:sz w:val="32"/>
          <w:szCs w:val="32"/>
          <w:highlight w:val="none"/>
          <w:lang w:eastAsia="zh-CN" w:bidi="ar"/>
        </w:rPr>
        <w:t>交易时间较长的年度交易，交易期间</w:t>
      </w:r>
      <w:r>
        <w:rPr>
          <w:rFonts w:ascii="仿宋_GB2312" w:eastAsia="仿宋_GB2312" w:hAnsi="仿宋_GB2312" w:cs="仿宋_GB2312" w:hint="eastAsia"/>
          <w:color w:val="auto"/>
          <w:sz w:val="32"/>
          <w:szCs w:val="32"/>
          <w:highlight w:val="none"/>
          <w:lang w:val="en-US" w:eastAsia="zh-CN" w:bidi="ar"/>
        </w:rPr>
        <w:t>如有交易参数变更，在每日闭市时间段内完成更新</w:t>
      </w:r>
      <w:r>
        <w:rPr>
          <w:rFonts w:ascii="仿宋_GB2312" w:eastAsia="仿宋_GB2312" w:hAnsi="仿宋_GB2312" w:cs="仿宋_GB2312" w:hint="eastAsia"/>
          <w:color w:val="auto"/>
          <w:sz w:val="32"/>
          <w:szCs w:val="32"/>
          <w:highlight w:val="none"/>
          <w:lang w:eastAsia="zh-CN" w:bidi="ar"/>
        </w:rPr>
        <w:t>，</w:t>
      </w:r>
      <w:r>
        <w:rPr>
          <w:rFonts w:ascii="仿宋_GB2312" w:eastAsia="仿宋_GB2312" w:hAnsi="仿宋_GB2312" w:cs="仿宋_GB2312" w:hint="eastAsia"/>
          <w:color w:val="auto"/>
          <w:sz w:val="32"/>
          <w:szCs w:val="32"/>
          <w:highlight w:val="none"/>
          <w:lang w:val="en-US" w:eastAsia="zh-CN" w:bidi="ar"/>
        </w:rPr>
        <w:t>开市时间</w:t>
      </w:r>
      <w:r>
        <w:rPr>
          <w:rFonts w:ascii="仿宋_GB2312" w:eastAsia="仿宋_GB2312" w:hAnsi="仿宋_GB2312" w:cs="仿宋_GB2312" w:hint="eastAsia"/>
          <w:color w:val="auto"/>
          <w:sz w:val="32"/>
          <w:szCs w:val="32"/>
          <w:highlight w:val="none"/>
          <w:lang w:eastAsia="zh-CN" w:bidi="ar"/>
        </w:rPr>
        <w:t>不进行交易参数更新。因代理关系变化、履约保函调整、交易资格变化等原因导致已成交电量超过限值的，按照相关规定处置，相应后果由市场主体自行承担。</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2"/>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5.3.1年度双边协商交易</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ascii="仿宋_GB2312" w:eastAsia="仿宋_GB2312" w:hAnsi="仿宋_GB2312" w:cs="仿宋_GB2312" w:hint="default"/>
          <w:b w:val="0"/>
          <w:bCs w:val="0"/>
          <w:color w:val="auto"/>
          <w:w w:val="100"/>
          <w:sz w:val="32"/>
          <w:szCs w:val="32"/>
          <w:highlight w:val="none"/>
          <w:lang w:val="en-US"/>
        </w:rPr>
      </w:pPr>
      <w:r>
        <w:rPr>
          <w:rFonts w:ascii="仿宋_GB2312" w:eastAsia="仿宋_GB2312" w:hAnsi="仿宋_GB2312" w:cs="仿宋_GB2312" w:hint="eastAsia"/>
          <w:b w:val="0"/>
          <w:bCs w:val="0"/>
          <w:color w:val="auto"/>
          <w:w w:val="100"/>
          <w:kern w:val="0"/>
          <w:sz w:val="32"/>
          <w:szCs w:val="32"/>
          <w:highlight w:val="none"/>
          <w:lang w:val="en-US" w:eastAsia="zh-CN" w:bidi="ar"/>
        </w:rPr>
        <w:t>5.3.1.1参与的市场成员</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已完成交易平台注册且符合准入条件的经营主体，其中</w:t>
      </w:r>
      <w:r>
        <w:rPr>
          <w:rFonts w:ascii="仿宋_GB2312" w:eastAsia="仿宋_GB2312" w:hAnsi="仿宋_GB2312" w:cs="仿宋_GB2312" w:hint="eastAsia"/>
          <w:color w:val="auto"/>
          <w:sz w:val="32"/>
          <w:szCs w:val="32"/>
          <w:highlight w:val="none"/>
          <w:lang w:eastAsia="zh-CN" w:bidi="ar"/>
        </w:rPr>
        <w:t>已完成市场注册但未按照相应国家或行业标准完成整套启动试运行的新建发电机组，</w:t>
      </w:r>
      <w:r>
        <w:rPr>
          <w:rFonts w:ascii="仿宋_GB2312" w:eastAsia="仿宋_GB2312" w:hAnsi="仿宋_GB2312" w:cs="仿宋_GB2312" w:hint="eastAsia"/>
          <w:color w:val="auto"/>
          <w:sz w:val="32"/>
          <w:szCs w:val="32"/>
          <w:highlight w:val="none"/>
          <w:lang w:val="en-US" w:eastAsia="zh-CN" w:bidi="ar"/>
        </w:rPr>
        <w:t>按照相关规定执行</w:t>
      </w:r>
      <w:r>
        <w:rPr>
          <w:rFonts w:ascii="仿宋_GB2312" w:eastAsia="仿宋_GB2312" w:hAnsi="仿宋_GB2312" w:cs="仿宋_GB2312" w:hint="eastAsia"/>
          <w:b w:val="0"/>
          <w:bCs w:val="0"/>
          <w:color w:val="auto"/>
          <w:w w:val="100"/>
          <w:kern w:val="0"/>
          <w:sz w:val="32"/>
          <w:szCs w:val="32"/>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5.3.1.2交易周期及标的</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年度双边协商交易的标的物为直接交易经营主体次年的电量。</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5.3.1.3交易公告发布</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交易中心发布年度交易公告，内容包括但不限于：</w:t>
      </w:r>
      <w:r>
        <w:rPr>
          <w:rFonts w:ascii="仿宋_GB2312" w:eastAsia="仿宋_GB2312" w:hAnsi="仿宋_GB2312" w:cs="仿宋_GB2312" w:hint="eastAsia"/>
          <w:color w:val="auto"/>
          <w:sz w:val="32"/>
          <w:szCs w:val="32"/>
          <w:highlight w:val="none"/>
          <w:lang w:eastAsia="zh-CN" w:bidi="ar"/>
        </w:rPr>
        <w:t>交易品种、交易主体、交易方式、交易申报时间、交易执行时间、交易参数、出清方式、交易约束信息、交易操作说明、其他准备信息等</w:t>
      </w:r>
      <w:r>
        <w:rPr>
          <w:rFonts w:ascii="仿宋_GB2312" w:eastAsia="仿宋_GB2312" w:hAnsi="仿宋_GB2312" w:cs="仿宋_GB2312" w:hint="eastAsia"/>
          <w:b w:val="0"/>
          <w:bCs w:val="0"/>
          <w:color w:val="auto"/>
          <w:w w:val="100"/>
          <w:kern w:val="0"/>
          <w:sz w:val="32"/>
          <w:szCs w:val="32"/>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5.3.1.4交易申报</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kern w:val="0"/>
          <w:sz w:val="32"/>
          <w:szCs w:val="32"/>
          <w:highlight w:val="none"/>
          <w:lang w:val="en-US" w:eastAsia="zh-CN" w:bidi="ar"/>
        </w:rPr>
      </w:pPr>
      <w:r>
        <w:rPr>
          <w:rFonts w:ascii="仿宋_GB2312" w:eastAsia="仿宋_GB2312" w:hAnsi="仿宋_GB2312" w:cs="仿宋_GB2312" w:hint="eastAsia"/>
          <w:b w:val="0"/>
          <w:bCs w:val="0"/>
          <w:color w:val="auto"/>
          <w:w w:val="100"/>
          <w:sz w:val="32"/>
          <w:szCs w:val="32"/>
          <w:highlight w:val="none"/>
          <w:lang w:val="en-US" w:eastAsia="zh-CN"/>
        </w:rPr>
        <w:t>发电企业以及</w:t>
      </w:r>
      <w:r>
        <w:rPr>
          <w:rFonts w:ascii="仿宋_GB2312" w:eastAsia="仿宋_GB2312" w:hAnsi="仿宋_GB2312" w:cs="仿宋_GB2312" w:hint="eastAsia"/>
          <w:color w:val="auto"/>
          <w:sz w:val="32"/>
          <w:szCs w:val="32"/>
          <w:highlight w:val="none"/>
          <w:lang w:eastAsia="zh-CN"/>
        </w:rPr>
        <w:t>独立储能放电交易单元</w:t>
      </w:r>
      <w:r>
        <w:rPr>
          <w:rFonts w:ascii="仿宋_GB2312" w:eastAsia="仿宋_GB2312" w:hAnsi="仿宋_GB2312" w:cs="仿宋_GB2312" w:hint="eastAsia"/>
          <w:b w:val="0"/>
          <w:bCs w:val="0"/>
          <w:color w:val="auto"/>
          <w:w w:val="100"/>
          <w:sz w:val="32"/>
          <w:szCs w:val="32"/>
          <w:highlight w:val="none"/>
          <w:lang w:val="en-US" w:eastAsia="zh-CN"/>
        </w:rPr>
        <w:t>只能作为卖方，电力用户、</w:t>
      </w:r>
      <w:r>
        <w:rPr>
          <w:rFonts w:ascii="仿宋_GB2312" w:eastAsia="仿宋_GB2312" w:hAnsi="仿宋_GB2312" w:cs="仿宋_GB2312" w:hint="eastAsia"/>
          <w:color w:val="auto"/>
          <w:sz w:val="32"/>
          <w:szCs w:val="32"/>
          <w:highlight w:val="none"/>
          <w:lang w:eastAsia="zh-CN"/>
        </w:rPr>
        <w:t>独立储能充电交易单元</w:t>
      </w:r>
      <w:r>
        <w:rPr>
          <w:rFonts w:ascii="仿宋_GB2312" w:eastAsia="仿宋_GB2312" w:hAnsi="仿宋_GB2312" w:cs="仿宋_GB2312" w:hint="eastAsia"/>
          <w:b w:val="0"/>
          <w:bCs w:val="0"/>
          <w:color w:val="auto"/>
          <w:w w:val="100"/>
          <w:sz w:val="32"/>
          <w:szCs w:val="32"/>
          <w:highlight w:val="none"/>
          <w:lang w:val="en-US" w:eastAsia="zh-CN"/>
        </w:rPr>
        <w:t>和售电公司只能作为买方</w:t>
      </w:r>
      <w:r>
        <w:rPr>
          <w:rFonts w:ascii="仿宋_GB2312" w:eastAsia="仿宋_GB2312" w:hAnsi="仿宋_GB2312" w:cs="仿宋_GB2312" w:hint="eastAsia"/>
          <w:b w:val="0"/>
          <w:bCs w:val="0"/>
          <w:color w:val="auto"/>
          <w:w w:val="100"/>
          <w:kern w:val="0"/>
          <w:sz w:val="32"/>
          <w:szCs w:val="32"/>
          <w:highlight w:val="none"/>
          <w:lang w:val="en-US" w:eastAsia="zh-CN" w:bidi="ar"/>
        </w:rPr>
        <w:t>，</w:t>
      </w:r>
      <w:r>
        <w:rPr>
          <w:rFonts w:ascii="仿宋_GB2312" w:eastAsia="仿宋_GB2312" w:hAnsi="仿宋_GB2312" w:cs="仿宋_GB2312" w:hint="eastAsia"/>
          <w:color w:val="auto"/>
          <w:w w:val="100"/>
          <w:sz w:val="32"/>
          <w:szCs w:val="32"/>
          <w:highlight w:val="none"/>
          <w:lang w:val="en-US" w:eastAsia="zh-CN" w:bidi="ar-SA"/>
        </w:rPr>
        <w:t>经营主体自主协商确定结算参考点价格</w:t>
      </w:r>
      <w:r>
        <w:rPr>
          <w:rFonts w:ascii="仿宋_GB2312" w:eastAsia="仿宋_GB2312" w:hAnsi="仿宋_GB2312" w:cs="仿宋_GB2312" w:hint="eastAsia"/>
          <w:b w:val="0"/>
          <w:bCs w:val="0"/>
          <w:color w:val="auto"/>
          <w:w w:val="100"/>
          <w:kern w:val="0"/>
          <w:sz w:val="32"/>
          <w:szCs w:val="32"/>
          <w:highlight w:val="none"/>
          <w:lang w:val="en-US" w:eastAsia="zh-CN" w:bidi="ar"/>
        </w:rPr>
        <w:t>、交易电量和交易价格后，根据交易时间安排，由任意一方在交易平台中发起申报，另一方在申报时间截止前进行确认后达成交易意向，未在申报时间截止前确认的视为未成交，</w:t>
      </w:r>
      <w:r>
        <w:rPr>
          <w:rFonts w:ascii="仿宋_GB2312" w:eastAsia="仿宋_GB2312" w:hAnsi="仿宋_GB2312" w:cs="仿宋_GB2312" w:hint="eastAsia"/>
          <w:color w:val="auto"/>
          <w:w w:val="100"/>
          <w:sz w:val="32"/>
          <w:szCs w:val="32"/>
          <w:highlight w:val="none"/>
          <w:lang w:val="en-US" w:eastAsia="zh-CN" w:bidi="ar-SA"/>
        </w:rPr>
        <w:t>交易电量和交易价格采用带曲线方式提交</w:t>
      </w:r>
      <w:r>
        <w:rPr>
          <w:rFonts w:ascii="仿宋_GB2312" w:eastAsia="仿宋_GB2312" w:hAnsi="仿宋_GB2312" w:cs="仿宋_GB2312" w:hint="eastAsia"/>
          <w:b w:val="0"/>
          <w:bCs w:val="0"/>
          <w:color w:val="auto"/>
          <w:w w:val="100"/>
          <w:kern w:val="0"/>
          <w:sz w:val="32"/>
          <w:szCs w:val="32"/>
          <w:highlight w:val="none"/>
          <w:lang w:val="en-US" w:eastAsia="zh-CN" w:bidi="ar"/>
        </w:rPr>
        <w:t>（分解曲线可采用自定义或典型曲线分解到月、日、小时）。</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2"/>
        <w:rPr>
          <w:rFonts w:ascii="仿宋_GB2312" w:eastAsia="仿宋_GB2312" w:hAnsi="仿宋_GB2312" w:cs="仿宋_GB2312" w:hint="eastAsia"/>
          <w:b w:val="0"/>
          <w:bCs w:val="0"/>
          <w:color w:val="auto"/>
          <w:w w:val="100"/>
          <w:kern w:val="0"/>
          <w:sz w:val="32"/>
          <w:szCs w:val="32"/>
          <w:highlight w:val="none"/>
          <w:lang w:val="en-US" w:eastAsia="zh-CN" w:bidi="ar"/>
        </w:rPr>
      </w:pPr>
      <w:r>
        <w:rPr>
          <w:rFonts w:ascii="仿宋_GB2312" w:eastAsia="仿宋_GB2312" w:hAnsi="仿宋_GB2312" w:cs="仿宋_GB2312" w:hint="eastAsia"/>
          <w:b w:val="0"/>
          <w:bCs w:val="0"/>
          <w:color w:val="auto"/>
          <w:w w:val="100"/>
          <w:kern w:val="0"/>
          <w:sz w:val="32"/>
          <w:szCs w:val="32"/>
          <w:highlight w:val="none"/>
          <w:lang w:val="en-US" w:eastAsia="zh-CN" w:bidi="ar"/>
        </w:rPr>
        <w:t>5.3.2</w:t>
      </w:r>
      <w:r>
        <w:rPr>
          <w:rFonts w:ascii="仿宋_GB2312" w:eastAsia="仿宋_GB2312" w:hAnsi="仿宋_GB2312" w:cs="仿宋_GB2312" w:hint="eastAsia"/>
          <w:b w:val="0"/>
          <w:bCs w:val="0"/>
          <w:color w:val="auto"/>
          <w:w w:val="100"/>
          <w:kern w:val="0"/>
          <w:sz w:val="32"/>
          <w:szCs w:val="32"/>
          <w:highlight w:val="none"/>
          <w:lang w:bidi="ar"/>
        </w:rPr>
        <w:t>年度</w:t>
      </w:r>
      <w:r>
        <w:rPr>
          <w:rFonts w:ascii="仿宋_GB2312" w:eastAsia="仿宋_GB2312" w:hAnsi="仿宋_GB2312" w:cs="仿宋_GB2312" w:hint="eastAsia"/>
          <w:b w:val="0"/>
          <w:bCs w:val="0"/>
          <w:color w:val="auto"/>
          <w:w w:val="100"/>
          <w:kern w:val="0"/>
          <w:sz w:val="32"/>
          <w:szCs w:val="32"/>
          <w:highlight w:val="none"/>
          <w:lang w:val="en-US" w:eastAsia="zh-CN" w:bidi="ar"/>
        </w:rPr>
        <w:t>集中竞价</w:t>
      </w:r>
      <w:r>
        <w:rPr>
          <w:rFonts w:ascii="仿宋_GB2312" w:eastAsia="仿宋_GB2312" w:hAnsi="仿宋_GB2312" w:cs="仿宋_GB2312" w:hint="eastAsia"/>
          <w:b w:val="0"/>
          <w:bCs w:val="0"/>
          <w:color w:val="auto"/>
          <w:w w:val="100"/>
          <w:kern w:val="0"/>
          <w:sz w:val="32"/>
          <w:szCs w:val="32"/>
          <w:highlight w:val="none"/>
          <w:lang w:bidi="ar"/>
        </w:rPr>
        <w:t>交易</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ascii="仿宋_GB2312" w:eastAsia="仿宋_GB2312" w:hAnsi="仿宋_GB2312" w:cs="仿宋_GB2312" w:hint="default"/>
          <w:b w:val="0"/>
          <w:bCs w:val="0"/>
          <w:color w:val="auto"/>
          <w:w w:val="100"/>
          <w:sz w:val="32"/>
          <w:szCs w:val="32"/>
          <w:highlight w:val="none"/>
          <w:lang w:val="en-US"/>
        </w:rPr>
      </w:pPr>
      <w:r>
        <w:rPr>
          <w:rFonts w:ascii="仿宋_GB2312" w:eastAsia="仿宋_GB2312" w:hAnsi="仿宋_GB2312" w:cs="仿宋_GB2312" w:hint="eastAsia"/>
          <w:b w:val="0"/>
          <w:bCs w:val="0"/>
          <w:color w:val="auto"/>
          <w:w w:val="100"/>
          <w:kern w:val="0"/>
          <w:sz w:val="32"/>
          <w:szCs w:val="32"/>
          <w:highlight w:val="none"/>
          <w:lang w:val="en-US" w:eastAsia="zh-CN" w:bidi="ar"/>
        </w:rPr>
        <w:t>5.3.2.1参与的市场成员</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rPr>
        <w:t>已完成交易平台注册且符合准入条件的</w:t>
      </w:r>
      <w:r>
        <w:rPr>
          <w:rFonts w:ascii="仿宋_GB2312" w:eastAsia="仿宋_GB2312" w:hAnsi="仿宋_GB2312" w:cs="仿宋_GB2312" w:hint="eastAsia"/>
          <w:b w:val="0"/>
          <w:bCs w:val="0"/>
          <w:color w:val="auto"/>
          <w:w w:val="100"/>
          <w:kern w:val="0"/>
          <w:sz w:val="32"/>
          <w:szCs w:val="32"/>
          <w:highlight w:val="none"/>
          <w:lang w:val="en-US" w:eastAsia="zh-CN"/>
        </w:rPr>
        <w:t>经营主体</w:t>
      </w:r>
      <w:r>
        <w:rPr>
          <w:rFonts w:ascii="仿宋_GB2312" w:eastAsia="仿宋_GB2312" w:hAnsi="仿宋_GB2312" w:cs="仿宋_GB2312" w:hint="eastAsia"/>
          <w:b w:val="0"/>
          <w:bCs w:val="0"/>
          <w:color w:val="auto"/>
          <w:w w:val="100"/>
          <w:kern w:val="0"/>
          <w:sz w:val="32"/>
          <w:szCs w:val="32"/>
          <w:highlight w:val="none"/>
          <w:lang w:val="en-US" w:eastAsia="zh-CN" w:bidi="ar"/>
        </w:rPr>
        <w:t>，其中</w:t>
      </w:r>
      <w:r>
        <w:rPr>
          <w:rFonts w:ascii="仿宋_GB2312" w:eastAsia="仿宋_GB2312" w:hAnsi="仿宋_GB2312" w:cs="仿宋_GB2312" w:hint="eastAsia"/>
          <w:color w:val="auto"/>
          <w:sz w:val="32"/>
          <w:szCs w:val="32"/>
          <w:highlight w:val="none"/>
          <w:lang w:eastAsia="zh-CN" w:bidi="ar"/>
        </w:rPr>
        <w:t>已完成市场注册但未按照相应国家或行业标准完成整套启动试运行的新建发电机组，</w:t>
      </w:r>
      <w:r>
        <w:rPr>
          <w:rFonts w:ascii="仿宋_GB2312" w:eastAsia="仿宋_GB2312" w:hAnsi="仿宋_GB2312" w:cs="仿宋_GB2312" w:hint="eastAsia"/>
          <w:color w:val="auto"/>
          <w:sz w:val="32"/>
          <w:szCs w:val="32"/>
          <w:highlight w:val="none"/>
          <w:lang w:val="en-US" w:eastAsia="zh-CN" w:bidi="ar"/>
        </w:rPr>
        <w:t>按照相关规定执行</w:t>
      </w:r>
      <w:r>
        <w:rPr>
          <w:rFonts w:ascii="仿宋_GB2312" w:eastAsia="仿宋_GB2312" w:hAnsi="仿宋_GB2312" w:cs="仿宋_GB2312" w:hint="eastAsia"/>
          <w:b w:val="0"/>
          <w:bCs w:val="0"/>
          <w:color w:val="auto"/>
          <w:w w:val="100"/>
          <w:kern w:val="0"/>
          <w:sz w:val="32"/>
          <w:szCs w:val="32"/>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ascii="仿宋_GB2312" w:eastAsia="仿宋_GB2312" w:hAnsi="仿宋_GB2312" w:cs="仿宋_GB2312" w:hint="eastAsia"/>
          <w:b w:val="0"/>
          <w:bCs w:val="0"/>
          <w:color w:val="auto"/>
          <w:w w:val="100"/>
          <w:kern w:val="0"/>
          <w:sz w:val="32"/>
          <w:szCs w:val="32"/>
          <w:highlight w:val="none"/>
          <w:lang w:val="en-US" w:eastAsia="zh-CN" w:bidi="ar"/>
        </w:rPr>
      </w:pPr>
      <w:r>
        <w:rPr>
          <w:rFonts w:ascii="仿宋_GB2312" w:eastAsia="仿宋_GB2312" w:hAnsi="仿宋_GB2312" w:cs="仿宋_GB2312" w:hint="eastAsia"/>
          <w:b w:val="0"/>
          <w:bCs w:val="0"/>
          <w:color w:val="auto"/>
          <w:w w:val="100"/>
          <w:kern w:val="0"/>
          <w:sz w:val="32"/>
          <w:szCs w:val="32"/>
          <w:highlight w:val="none"/>
          <w:lang w:val="en-US" w:eastAsia="zh-CN" w:bidi="ar"/>
        </w:rPr>
        <w:t>5.3.2.2交易周期及标的</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年度集中竞价交易的标的物为直接交易经营主体次年的电量。</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ascii="仿宋_GB2312" w:eastAsia="仿宋_GB2312" w:hAnsi="仿宋_GB2312" w:cs="仿宋_GB2312" w:hint="eastAsia"/>
          <w:b w:val="0"/>
          <w:bCs w:val="0"/>
          <w:color w:val="auto"/>
          <w:w w:val="100"/>
          <w:kern w:val="0"/>
          <w:sz w:val="32"/>
          <w:szCs w:val="32"/>
          <w:highlight w:val="none"/>
          <w:lang w:val="en-US" w:eastAsia="zh-CN" w:bidi="ar"/>
        </w:rPr>
      </w:pPr>
      <w:r>
        <w:rPr>
          <w:rFonts w:ascii="仿宋_GB2312" w:eastAsia="仿宋_GB2312" w:hAnsi="仿宋_GB2312" w:cs="仿宋_GB2312" w:hint="eastAsia"/>
          <w:b w:val="0"/>
          <w:bCs w:val="0"/>
          <w:color w:val="auto"/>
          <w:w w:val="100"/>
          <w:kern w:val="0"/>
          <w:sz w:val="32"/>
          <w:szCs w:val="32"/>
          <w:highlight w:val="none"/>
          <w:lang w:val="en-US" w:eastAsia="zh-CN" w:bidi="ar"/>
        </w:rPr>
        <w:t>5.3.2.3交易公告发布</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sz w:val="32"/>
          <w:szCs w:val="32"/>
          <w:highlight w:val="none"/>
        </w:rPr>
        <w:t>交易中心提前发布</w:t>
      </w:r>
      <w:r>
        <w:rPr>
          <w:rFonts w:ascii="仿宋_GB2312" w:eastAsia="仿宋_GB2312" w:hAnsi="仿宋_GB2312" w:cs="仿宋_GB2312" w:hint="eastAsia"/>
          <w:b w:val="0"/>
          <w:bCs w:val="0"/>
          <w:color w:val="auto"/>
          <w:w w:val="100"/>
          <w:sz w:val="32"/>
          <w:szCs w:val="32"/>
          <w:highlight w:val="none"/>
          <w:lang w:val="en-US" w:eastAsia="zh-CN"/>
        </w:rPr>
        <w:t>年度</w:t>
      </w:r>
      <w:r>
        <w:rPr>
          <w:rFonts w:ascii="仿宋_GB2312" w:eastAsia="仿宋_GB2312" w:hAnsi="仿宋_GB2312" w:cs="仿宋_GB2312" w:hint="eastAsia"/>
          <w:b w:val="0"/>
          <w:bCs w:val="0"/>
          <w:snapToGrid w:val="0"/>
          <w:color w:val="auto"/>
          <w:w w:val="100"/>
          <w:kern w:val="18"/>
          <w:sz w:val="32"/>
          <w:szCs w:val="32"/>
          <w:highlight w:val="none"/>
        </w:rPr>
        <w:t>集中</w:t>
      </w:r>
      <w:r>
        <w:rPr>
          <w:rFonts w:ascii="仿宋_GB2312" w:eastAsia="仿宋_GB2312" w:hAnsi="仿宋_GB2312" w:cs="仿宋_GB2312" w:hint="eastAsia"/>
          <w:b w:val="0"/>
          <w:bCs w:val="0"/>
          <w:snapToGrid w:val="0"/>
          <w:color w:val="auto"/>
          <w:w w:val="100"/>
          <w:kern w:val="18"/>
          <w:sz w:val="32"/>
          <w:szCs w:val="32"/>
          <w:highlight w:val="none"/>
          <w:lang w:val="en-US" w:eastAsia="zh-CN"/>
        </w:rPr>
        <w:t>竞价</w:t>
      </w:r>
      <w:r>
        <w:rPr>
          <w:rFonts w:ascii="仿宋_GB2312" w:eastAsia="仿宋_GB2312" w:hAnsi="仿宋_GB2312" w:cs="仿宋_GB2312" w:hint="eastAsia"/>
          <w:b w:val="0"/>
          <w:bCs w:val="0"/>
          <w:snapToGrid w:val="0"/>
          <w:color w:val="auto"/>
          <w:w w:val="100"/>
          <w:kern w:val="18"/>
          <w:sz w:val="32"/>
          <w:szCs w:val="32"/>
          <w:highlight w:val="none"/>
        </w:rPr>
        <w:t>交易</w:t>
      </w:r>
      <w:r>
        <w:rPr>
          <w:rFonts w:ascii="仿宋_GB2312" w:eastAsia="仿宋_GB2312" w:hAnsi="仿宋_GB2312" w:cs="仿宋_GB2312" w:hint="eastAsia"/>
          <w:b w:val="0"/>
          <w:bCs w:val="0"/>
          <w:color w:val="auto"/>
          <w:w w:val="100"/>
          <w:sz w:val="32"/>
          <w:szCs w:val="32"/>
          <w:highlight w:val="none"/>
        </w:rPr>
        <w:t>公告，内容包括但不限于：</w:t>
      </w:r>
      <w:r>
        <w:rPr>
          <w:rFonts w:ascii="仿宋_GB2312" w:eastAsia="仿宋_GB2312" w:hAnsi="仿宋_GB2312" w:cs="仿宋_GB2312" w:hint="eastAsia"/>
          <w:color w:val="auto"/>
          <w:sz w:val="32"/>
          <w:szCs w:val="32"/>
          <w:highlight w:val="none"/>
        </w:rPr>
        <w:t>交易品种、交易主体、交易方式、交易申报时间、交易执行时间、交易参数、出清方式、交易约束信息、交易操作说明、其他准备信息等</w:t>
      </w:r>
      <w:r>
        <w:rPr>
          <w:rFonts w:ascii="仿宋_GB2312" w:eastAsia="仿宋_GB2312" w:hAnsi="仿宋_GB2312" w:cs="仿宋_GB2312" w:hint="eastAsia"/>
          <w:b w:val="0"/>
          <w:bCs w:val="0"/>
          <w:color w:val="auto"/>
          <w:w w:val="100"/>
          <w:kern w:val="0"/>
          <w:sz w:val="32"/>
          <w:szCs w:val="32"/>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ascii="仿宋_GB2312" w:eastAsia="仿宋_GB2312" w:hAnsi="仿宋_GB2312" w:cs="仿宋_GB2312" w:hint="eastAsia"/>
          <w:b w:val="0"/>
          <w:bCs w:val="0"/>
          <w:color w:val="auto"/>
          <w:w w:val="100"/>
          <w:kern w:val="0"/>
          <w:sz w:val="32"/>
          <w:szCs w:val="32"/>
          <w:highlight w:val="none"/>
          <w:lang w:val="en-US" w:eastAsia="zh-CN" w:bidi="ar"/>
        </w:rPr>
      </w:pPr>
      <w:r>
        <w:rPr>
          <w:rFonts w:ascii="仿宋_GB2312" w:eastAsia="仿宋_GB2312" w:hAnsi="仿宋_GB2312" w:cs="仿宋_GB2312" w:hint="eastAsia"/>
          <w:b w:val="0"/>
          <w:bCs w:val="0"/>
          <w:color w:val="auto"/>
          <w:w w:val="100"/>
          <w:kern w:val="0"/>
          <w:sz w:val="32"/>
          <w:szCs w:val="32"/>
          <w:highlight w:val="none"/>
          <w:lang w:val="en-US" w:eastAsia="zh-CN" w:bidi="ar"/>
        </w:rPr>
        <w:t>5.3.2.4交易申报</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sz w:val="32"/>
          <w:szCs w:val="32"/>
          <w:highlight w:val="none"/>
          <w:lang w:val="en-US" w:eastAsia="zh-CN"/>
        </w:rPr>
        <w:t>发电企业</w:t>
      </w:r>
      <w:r>
        <w:rPr>
          <w:rFonts w:ascii="仿宋_GB2312" w:eastAsia="仿宋_GB2312" w:hAnsi="仿宋_GB2312" w:cs="仿宋_GB2312" w:hint="eastAsia"/>
          <w:color w:val="auto"/>
          <w:sz w:val="32"/>
          <w:szCs w:val="32"/>
          <w:highlight w:val="none"/>
          <w:lang w:eastAsia="zh-CN"/>
        </w:rPr>
        <w:t>以及独立储能放电交易单元</w:t>
      </w:r>
      <w:r>
        <w:rPr>
          <w:rFonts w:ascii="仿宋_GB2312" w:eastAsia="仿宋_GB2312" w:hAnsi="仿宋_GB2312" w:cs="仿宋_GB2312" w:hint="eastAsia"/>
          <w:b w:val="0"/>
          <w:bCs w:val="0"/>
          <w:color w:val="auto"/>
          <w:w w:val="100"/>
          <w:sz w:val="32"/>
          <w:szCs w:val="32"/>
          <w:highlight w:val="none"/>
          <w:lang w:val="en-US" w:eastAsia="zh-CN"/>
        </w:rPr>
        <w:t>只能作为卖方，电力用户</w:t>
      </w:r>
      <w:r>
        <w:rPr>
          <w:rFonts w:ascii="仿宋_GB2312" w:eastAsia="仿宋_GB2312" w:hAnsi="仿宋_GB2312" w:cs="仿宋_GB2312" w:hint="eastAsia"/>
          <w:color w:val="auto"/>
          <w:sz w:val="32"/>
          <w:szCs w:val="32"/>
          <w:highlight w:val="none"/>
          <w:lang w:eastAsia="zh-CN"/>
        </w:rPr>
        <w:t>、独立储能充电交易单元</w:t>
      </w:r>
      <w:r>
        <w:rPr>
          <w:rFonts w:ascii="仿宋_GB2312" w:eastAsia="仿宋_GB2312" w:hAnsi="仿宋_GB2312" w:cs="仿宋_GB2312" w:hint="eastAsia"/>
          <w:b w:val="0"/>
          <w:bCs w:val="0"/>
          <w:color w:val="auto"/>
          <w:w w:val="100"/>
          <w:sz w:val="32"/>
          <w:szCs w:val="32"/>
          <w:highlight w:val="none"/>
          <w:lang w:val="en-US" w:eastAsia="zh-CN"/>
        </w:rPr>
        <w:t>和售电公司只能作为买方</w:t>
      </w:r>
      <w:r>
        <w:rPr>
          <w:rFonts w:ascii="仿宋_GB2312" w:eastAsia="仿宋_GB2312" w:hAnsi="仿宋_GB2312" w:cs="仿宋_GB2312" w:hint="eastAsia"/>
          <w:b w:val="0"/>
          <w:bCs w:val="0"/>
          <w:snapToGrid w:val="0"/>
          <w:color w:val="auto"/>
          <w:w w:val="100"/>
          <w:kern w:val="18"/>
          <w:sz w:val="32"/>
          <w:szCs w:val="32"/>
          <w:highlight w:val="none"/>
        </w:rPr>
        <w:t>。</w:t>
      </w:r>
      <w:r>
        <w:rPr>
          <w:rFonts w:ascii="仿宋_GB2312" w:eastAsia="仿宋_GB2312" w:hAnsi="仿宋_GB2312" w:cs="仿宋_GB2312" w:hint="eastAsia"/>
          <w:b w:val="0"/>
          <w:bCs w:val="0"/>
          <w:color w:val="auto"/>
          <w:w w:val="100"/>
          <w:sz w:val="32"/>
          <w:szCs w:val="32"/>
          <w:highlight w:val="none"/>
          <w:lang w:val="en-US" w:eastAsia="zh-CN"/>
        </w:rPr>
        <w:t>经营主体</w:t>
      </w:r>
      <w:r>
        <w:rPr>
          <w:rFonts w:ascii="仿宋_GB2312" w:eastAsia="仿宋_GB2312" w:hAnsi="仿宋_GB2312" w:cs="仿宋_GB2312" w:hint="eastAsia"/>
          <w:b w:val="0"/>
          <w:bCs w:val="0"/>
          <w:color w:val="auto"/>
          <w:w w:val="100"/>
          <w:sz w:val="32"/>
          <w:szCs w:val="32"/>
          <w:highlight w:val="none"/>
        </w:rPr>
        <w:t>通过</w:t>
      </w:r>
      <w:r>
        <w:rPr>
          <w:rFonts w:ascii="仿宋_GB2312" w:eastAsia="仿宋_GB2312" w:hAnsi="仿宋_GB2312" w:cs="仿宋_GB2312" w:hint="eastAsia"/>
          <w:b w:val="0"/>
          <w:bCs w:val="0"/>
          <w:snapToGrid w:val="0"/>
          <w:color w:val="auto"/>
          <w:w w:val="100"/>
          <w:kern w:val="18"/>
          <w:sz w:val="32"/>
          <w:szCs w:val="32"/>
          <w:highlight w:val="none"/>
        </w:rPr>
        <w:t>交易平台</w:t>
      </w:r>
      <w:r>
        <w:rPr>
          <w:rFonts w:ascii="仿宋_GB2312" w:eastAsia="仿宋_GB2312" w:hAnsi="仿宋_GB2312" w:cs="仿宋_GB2312" w:hint="eastAsia"/>
          <w:color w:val="auto"/>
          <w:sz w:val="32"/>
          <w:szCs w:val="32"/>
          <w:highlight w:val="none"/>
          <w:lang w:eastAsia="zh-CN" w:bidi="ar"/>
        </w:rPr>
        <w:t>采</w:t>
      </w:r>
      <w:r>
        <w:rPr>
          <w:rFonts w:ascii="仿宋_GB2312" w:eastAsia="仿宋_GB2312" w:hAnsi="仿宋_GB2312" w:cs="仿宋_GB2312" w:hint="eastAsia"/>
          <w:color w:val="auto"/>
          <w:w w:val="100"/>
          <w:sz w:val="32"/>
          <w:szCs w:val="32"/>
          <w:highlight w:val="none"/>
          <w:lang w:val="en-US" w:eastAsia="zh-CN" w:bidi="ar-SA"/>
        </w:rPr>
        <w:t>用分时段方式申报全月24小时分时交易电量和交易价格</w:t>
      </w:r>
      <w:r>
        <w:rPr>
          <w:rFonts w:ascii="仿宋_GB2312" w:eastAsia="仿宋_GB2312" w:hAnsi="仿宋_GB2312" w:cs="仿宋_GB2312" w:hint="eastAsia"/>
          <w:b w:val="0"/>
          <w:bCs w:val="0"/>
          <w:color w:val="auto"/>
          <w:w w:val="100"/>
          <w:kern w:val="0"/>
          <w:sz w:val="32"/>
          <w:szCs w:val="32"/>
          <w:highlight w:val="none"/>
          <w:lang w:val="en-US" w:eastAsia="zh-CN" w:bidi="ar"/>
        </w:rPr>
        <w:t>，申报时间截止前可对已申报信息进行撤销，申报电量要求详见【5.2.3可申报电量约束】。</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ascii="仿宋_GB2312" w:eastAsia="仿宋_GB2312" w:hAnsi="仿宋_GB2312" w:cs="仿宋_GB2312" w:hint="eastAsia"/>
          <w:b w:val="0"/>
          <w:bCs w:val="0"/>
          <w:color w:val="auto"/>
          <w:w w:val="100"/>
          <w:kern w:val="0"/>
          <w:sz w:val="32"/>
          <w:szCs w:val="32"/>
          <w:highlight w:val="none"/>
          <w:lang w:val="en-US" w:eastAsia="zh-CN" w:bidi="ar"/>
        </w:rPr>
      </w:pPr>
      <w:r>
        <w:rPr>
          <w:rFonts w:ascii="仿宋_GB2312" w:eastAsia="仿宋_GB2312" w:hAnsi="仿宋_GB2312" w:cs="仿宋_GB2312" w:hint="eastAsia"/>
          <w:b w:val="0"/>
          <w:bCs w:val="0"/>
          <w:color w:val="auto"/>
          <w:w w:val="100"/>
          <w:kern w:val="0"/>
          <w:sz w:val="32"/>
          <w:szCs w:val="32"/>
          <w:highlight w:val="none"/>
          <w:lang w:val="en-US" w:eastAsia="zh-CN" w:bidi="ar"/>
        </w:rPr>
        <w:t>5.3.2.5无约束出清</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ascii="仿宋_GB2312" w:eastAsia="仿宋_GB2312" w:hAnsi="仿宋_GB2312" w:cs="仿宋_GB2312" w:hint="eastAsia"/>
          <w:b w:val="0"/>
          <w:bCs w:val="0"/>
          <w:color w:val="auto"/>
          <w:w w:val="100"/>
          <w:kern w:val="0"/>
          <w:sz w:val="32"/>
          <w:szCs w:val="32"/>
          <w:highlight w:val="none"/>
          <w:lang w:val="en-US" w:eastAsia="zh-CN" w:bidi="ar"/>
        </w:rPr>
      </w:pPr>
      <w:r>
        <w:rPr>
          <w:rFonts w:ascii="仿宋_GB2312" w:eastAsia="仿宋_GB2312" w:hAnsi="仿宋_GB2312" w:cs="仿宋_GB2312" w:hint="eastAsia"/>
          <w:b w:val="0"/>
          <w:bCs w:val="0"/>
          <w:color w:val="auto"/>
          <w:w w:val="100"/>
          <w:kern w:val="0"/>
          <w:sz w:val="32"/>
          <w:szCs w:val="32"/>
          <w:highlight w:val="none"/>
          <w:lang w:val="en-US" w:eastAsia="zh-CN" w:bidi="ar"/>
        </w:rPr>
        <w:t>根据各经营主体</w:t>
      </w:r>
      <w:r>
        <w:rPr>
          <w:rFonts w:ascii="仿宋_GB2312" w:eastAsia="仿宋_GB2312" w:hAnsi="仿宋_GB2312" w:cs="仿宋_GB2312" w:hint="eastAsia"/>
          <w:b w:val="0"/>
          <w:bCs w:val="0"/>
          <w:snapToGrid w:val="0"/>
          <w:color w:val="auto"/>
          <w:w w:val="100"/>
          <w:kern w:val="18"/>
          <w:sz w:val="32"/>
          <w:szCs w:val="32"/>
          <w:highlight w:val="none"/>
        </w:rPr>
        <w:t>申报</w:t>
      </w:r>
      <w:r>
        <w:rPr>
          <w:rFonts w:ascii="仿宋_GB2312" w:eastAsia="仿宋_GB2312" w:hAnsi="仿宋_GB2312" w:cs="仿宋_GB2312" w:hint="eastAsia"/>
          <w:b w:val="0"/>
          <w:bCs w:val="0"/>
          <w:snapToGrid w:val="0"/>
          <w:color w:val="auto"/>
          <w:w w:val="100"/>
          <w:kern w:val="18"/>
          <w:sz w:val="32"/>
          <w:szCs w:val="32"/>
          <w:highlight w:val="none"/>
          <w:lang w:val="en-US" w:eastAsia="zh-CN"/>
        </w:rPr>
        <w:t>的</w:t>
      </w:r>
      <w:r>
        <w:rPr>
          <w:rFonts w:ascii="仿宋_GB2312" w:eastAsia="仿宋_GB2312" w:hAnsi="仿宋_GB2312" w:cs="仿宋_GB2312" w:hint="eastAsia"/>
          <w:snapToGrid w:val="0"/>
          <w:color w:val="auto"/>
          <w:kern w:val="18"/>
          <w:sz w:val="32"/>
          <w:szCs w:val="32"/>
          <w:highlight w:val="none"/>
        </w:rPr>
        <w:t>全月24小时分时</w:t>
      </w:r>
      <w:r>
        <w:rPr>
          <w:rFonts w:ascii="仿宋_GB2312" w:eastAsia="仿宋_GB2312" w:hAnsi="仿宋_GB2312" w:cs="仿宋_GB2312" w:hint="eastAsia"/>
          <w:b w:val="0"/>
          <w:bCs w:val="0"/>
          <w:snapToGrid w:val="0"/>
          <w:color w:val="auto"/>
          <w:w w:val="100"/>
          <w:kern w:val="18"/>
          <w:sz w:val="32"/>
          <w:szCs w:val="32"/>
          <w:highlight w:val="none"/>
        </w:rPr>
        <w:t>交易电量和交易价格</w:t>
      </w:r>
      <w:r>
        <w:rPr>
          <w:rFonts w:ascii="仿宋_GB2312" w:eastAsia="仿宋_GB2312" w:hAnsi="仿宋_GB2312" w:cs="仿宋_GB2312" w:hint="eastAsia"/>
          <w:b w:val="0"/>
          <w:bCs w:val="0"/>
          <w:snapToGrid w:val="0"/>
          <w:color w:val="auto"/>
          <w:w w:val="100"/>
          <w:kern w:val="18"/>
          <w:sz w:val="32"/>
          <w:szCs w:val="32"/>
          <w:highlight w:val="none"/>
          <w:lang w:eastAsia="zh-CN"/>
        </w:rPr>
        <w:t>，</w:t>
      </w:r>
      <w:r>
        <w:rPr>
          <w:rFonts w:ascii="仿宋_GB2312" w:eastAsia="仿宋_GB2312" w:hAnsi="仿宋_GB2312" w:cs="仿宋_GB2312" w:hint="eastAsia"/>
          <w:b w:val="0"/>
          <w:bCs w:val="0"/>
          <w:color w:val="auto"/>
          <w:w w:val="100"/>
          <w:kern w:val="0"/>
          <w:sz w:val="32"/>
          <w:szCs w:val="32"/>
          <w:highlight w:val="none"/>
          <w:lang w:val="en-US" w:eastAsia="zh-CN" w:bidi="ar"/>
        </w:rPr>
        <w:t>按照【4.2.2.1集中竞价】的规定采用高低匹配出清，</w:t>
      </w:r>
      <w:r>
        <w:rPr>
          <w:rFonts w:ascii="仿宋_GB2312" w:eastAsia="仿宋_GB2312" w:hAnsi="仿宋_GB2312" w:cs="仿宋_GB2312" w:hint="eastAsia"/>
          <w:color w:val="auto"/>
          <w:w w:val="100"/>
          <w:sz w:val="32"/>
          <w:szCs w:val="32"/>
          <w:highlight w:val="none"/>
          <w:lang w:val="en-US" w:eastAsia="zh-CN" w:bidi="ar-SA"/>
        </w:rPr>
        <w:t>各时段所</w:t>
      </w:r>
      <w:r>
        <w:rPr>
          <w:rFonts w:ascii="仿宋_GB2312" w:eastAsia="仿宋_GB2312" w:hAnsi="仿宋_GB2312" w:cs="仿宋_GB2312" w:hint="default"/>
          <w:color w:val="auto"/>
          <w:w w:val="100"/>
          <w:sz w:val="32"/>
          <w:szCs w:val="32"/>
          <w:highlight w:val="none"/>
          <w:lang w:val="en-US" w:eastAsia="zh-CN" w:bidi="ar-SA"/>
        </w:rPr>
        <w:t>对应日期</w:t>
      </w:r>
      <w:r>
        <w:rPr>
          <w:rFonts w:ascii="仿宋_GB2312" w:eastAsia="仿宋_GB2312" w:hAnsi="仿宋_GB2312" w:cs="仿宋_GB2312" w:hint="eastAsia"/>
          <w:color w:val="auto"/>
          <w:w w:val="100"/>
          <w:sz w:val="32"/>
          <w:szCs w:val="32"/>
          <w:highlight w:val="none"/>
          <w:lang w:val="en-US" w:eastAsia="zh-CN" w:bidi="ar-SA"/>
        </w:rPr>
        <w:t>的成交电量都相同</w:t>
      </w:r>
      <w:r>
        <w:rPr>
          <w:rFonts w:ascii="仿宋_GB2312" w:eastAsia="仿宋_GB2312" w:hAnsi="仿宋_GB2312" w:cs="仿宋_GB2312" w:hint="default"/>
          <w:color w:val="auto"/>
          <w:w w:val="100"/>
          <w:sz w:val="32"/>
          <w:szCs w:val="32"/>
          <w:highlight w:val="none"/>
          <w:lang w:val="en-US" w:eastAsia="zh-CN" w:bidi="ar-SA"/>
        </w:rPr>
        <w:t>，</w:t>
      </w:r>
      <w:r>
        <w:rPr>
          <w:rFonts w:ascii="仿宋_GB2312" w:eastAsia="仿宋_GB2312" w:hAnsi="仿宋_GB2312" w:cs="仿宋_GB2312" w:hint="eastAsia"/>
          <w:color w:val="auto"/>
          <w:w w:val="100"/>
          <w:sz w:val="32"/>
          <w:szCs w:val="32"/>
          <w:highlight w:val="none"/>
          <w:lang w:val="en-US" w:eastAsia="zh-CN" w:bidi="ar-SA"/>
        </w:rPr>
        <w:t>成交价格</w:t>
      </w:r>
      <w:r>
        <w:rPr>
          <w:rFonts w:ascii="仿宋_GB2312" w:eastAsia="仿宋_GB2312" w:hAnsi="仿宋_GB2312" w:cs="仿宋_GB2312" w:hint="default"/>
          <w:color w:val="auto"/>
          <w:w w:val="100"/>
          <w:sz w:val="32"/>
          <w:szCs w:val="32"/>
          <w:highlight w:val="none"/>
          <w:lang w:val="en-US" w:eastAsia="zh-CN" w:bidi="ar-SA"/>
        </w:rPr>
        <w:t>为</w:t>
      </w:r>
      <w:r>
        <w:rPr>
          <w:rFonts w:ascii="仿宋_GB2312" w:eastAsia="仿宋_GB2312" w:hAnsi="仿宋_GB2312" w:cs="仿宋_GB2312" w:hint="eastAsia"/>
          <w:color w:val="auto"/>
          <w:w w:val="100"/>
          <w:sz w:val="32"/>
          <w:szCs w:val="32"/>
          <w:highlight w:val="none"/>
          <w:lang w:val="en-US" w:eastAsia="zh-CN" w:bidi="ar-SA"/>
        </w:rPr>
        <w:t>该时段的</w:t>
      </w:r>
      <w:r>
        <w:rPr>
          <w:rFonts w:ascii="仿宋_GB2312" w:eastAsia="仿宋_GB2312" w:hAnsi="仿宋_GB2312" w:cs="仿宋_GB2312" w:hint="default"/>
          <w:color w:val="auto"/>
          <w:w w:val="100"/>
          <w:sz w:val="32"/>
          <w:szCs w:val="32"/>
          <w:highlight w:val="none"/>
          <w:lang w:val="en-US" w:eastAsia="zh-CN" w:bidi="ar-SA"/>
        </w:rPr>
        <w:t>出清电价</w:t>
      </w:r>
      <w:r>
        <w:rPr>
          <w:rFonts w:ascii="仿宋_GB2312" w:eastAsia="仿宋_GB2312" w:hAnsi="仿宋_GB2312" w:cs="仿宋_GB2312" w:hint="eastAsia"/>
          <w:color w:val="auto"/>
          <w:w w:val="100"/>
          <w:sz w:val="32"/>
          <w:szCs w:val="32"/>
          <w:highlight w:val="none"/>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2"/>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5.3.3年度电网代理购电挂牌交易</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ascii="仿宋_GB2312" w:eastAsia="仿宋_GB2312" w:hAnsi="仿宋_GB2312" w:cs="仿宋_GB2312" w:hint="default"/>
          <w:b w:val="0"/>
          <w:bCs w:val="0"/>
          <w:color w:val="auto"/>
          <w:w w:val="100"/>
          <w:sz w:val="32"/>
          <w:szCs w:val="32"/>
          <w:highlight w:val="none"/>
          <w:lang w:val="en-US"/>
        </w:rPr>
      </w:pPr>
      <w:r>
        <w:rPr>
          <w:rFonts w:ascii="仿宋_GB2312" w:eastAsia="仿宋_GB2312" w:hAnsi="仿宋_GB2312" w:cs="仿宋_GB2312" w:hint="eastAsia"/>
          <w:b w:val="0"/>
          <w:bCs w:val="0"/>
          <w:color w:val="auto"/>
          <w:w w:val="100"/>
          <w:kern w:val="0"/>
          <w:sz w:val="32"/>
          <w:szCs w:val="32"/>
          <w:highlight w:val="none"/>
          <w:lang w:val="en-US" w:eastAsia="zh-CN" w:bidi="ar"/>
        </w:rPr>
        <w:t>5.3.3.1参与的市场成员</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已完成交易平台注册且符合准入条件的发电企业、电网企业（含增量配电网企业），其中</w:t>
      </w:r>
      <w:r>
        <w:rPr>
          <w:rFonts w:ascii="仿宋_GB2312" w:eastAsia="仿宋_GB2312" w:hAnsi="仿宋_GB2312" w:cs="仿宋_GB2312" w:hint="eastAsia"/>
          <w:color w:val="auto"/>
          <w:sz w:val="32"/>
          <w:szCs w:val="32"/>
          <w:highlight w:val="none"/>
          <w:lang w:eastAsia="zh-CN" w:bidi="ar"/>
        </w:rPr>
        <w:t>已完成市场注册但未按照相应国家或行业标准完成整套启动试运行的新建发电机组，</w:t>
      </w:r>
      <w:r>
        <w:rPr>
          <w:rFonts w:ascii="仿宋_GB2312" w:eastAsia="仿宋_GB2312" w:hAnsi="仿宋_GB2312" w:cs="仿宋_GB2312" w:hint="eastAsia"/>
          <w:color w:val="auto"/>
          <w:sz w:val="32"/>
          <w:szCs w:val="32"/>
          <w:highlight w:val="none"/>
          <w:lang w:val="en-US" w:eastAsia="zh-CN" w:bidi="ar"/>
        </w:rPr>
        <w:t>按照相关规定执行</w:t>
      </w:r>
      <w:r>
        <w:rPr>
          <w:rFonts w:ascii="仿宋_GB2312" w:eastAsia="仿宋_GB2312" w:hAnsi="仿宋_GB2312" w:cs="仿宋_GB2312" w:hint="eastAsia"/>
          <w:b w:val="0"/>
          <w:bCs w:val="0"/>
          <w:color w:val="auto"/>
          <w:w w:val="100"/>
          <w:kern w:val="0"/>
          <w:sz w:val="32"/>
          <w:szCs w:val="32"/>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5.3.3.2交易周期及标的</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年度电网代理购电挂牌交易的标的物为电网企业代理购电次年的电量。</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5.3.3.3交易公告发布</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kern w:val="0"/>
          <w:sz w:val="32"/>
          <w:szCs w:val="32"/>
          <w:highlight w:val="none"/>
          <w:lang w:val="en-US" w:eastAsia="zh-CN" w:bidi="ar"/>
        </w:rPr>
      </w:pPr>
      <w:r>
        <w:rPr>
          <w:rFonts w:ascii="仿宋_GB2312" w:eastAsia="仿宋_GB2312" w:hAnsi="仿宋_GB2312" w:cs="仿宋_GB2312" w:hint="eastAsia"/>
          <w:b w:val="0"/>
          <w:bCs w:val="0"/>
          <w:color w:val="auto"/>
          <w:w w:val="100"/>
          <w:kern w:val="0"/>
          <w:sz w:val="32"/>
          <w:szCs w:val="32"/>
          <w:highlight w:val="none"/>
          <w:lang w:val="en-US" w:eastAsia="zh-CN" w:bidi="ar"/>
        </w:rPr>
        <w:t>交易中心发布年度电网代理购电交易公告，内容包括但不限于：</w:t>
      </w:r>
      <w:r>
        <w:rPr>
          <w:rFonts w:ascii="仿宋_GB2312" w:eastAsia="仿宋_GB2312" w:hAnsi="仿宋_GB2312" w:cs="仿宋_GB2312" w:hint="eastAsia"/>
          <w:color w:val="auto"/>
          <w:sz w:val="32"/>
          <w:szCs w:val="32"/>
          <w:highlight w:val="none"/>
          <w:lang w:eastAsia="zh-CN" w:bidi="ar"/>
        </w:rPr>
        <w:t>交易品种、交易主体、交易方式、交易申报时间、交易执行时间、交易参数、出清方式、交易约束信息、交易操作说明、其他准备信息等</w:t>
      </w:r>
      <w:r>
        <w:rPr>
          <w:rFonts w:ascii="仿宋_GB2312" w:eastAsia="仿宋_GB2312" w:hAnsi="仿宋_GB2312" w:cs="仿宋_GB2312" w:hint="eastAsia"/>
          <w:b w:val="0"/>
          <w:bCs w:val="0"/>
          <w:color w:val="auto"/>
          <w:w w:val="100"/>
          <w:kern w:val="0"/>
          <w:sz w:val="32"/>
          <w:szCs w:val="32"/>
          <w:highlight w:val="none"/>
          <w:lang w:val="en-US" w:eastAsia="zh-CN" w:bidi="ar"/>
        </w:rPr>
        <w:t>。</w:t>
      </w:r>
    </w:p>
    <w:p>
      <w:pPr>
        <w:widowControl/>
        <w:spacing w:line="600" w:lineRule="exact"/>
        <w:ind w:left="0" w:firstLine="640" w:firstLineChars="200"/>
        <w:jc w:val="both"/>
        <w:rPr>
          <w:rFonts w:ascii="仿宋_GB2312" w:eastAsia="仿宋_GB2312" w:hAnsi="仿宋_GB2312" w:cs="仿宋_GB2312" w:hint="eastAsia"/>
          <w:color w:val="auto"/>
          <w:sz w:val="32"/>
          <w:szCs w:val="32"/>
          <w:highlight w:val="none"/>
          <w:lang w:eastAsia="zh-CN" w:bidi="ar"/>
        </w:rPr>
      </w:pPr>
      <w:r>
        <w:rPr>
          <w:rFonts w:ascii="仿宋_GB2312" w:eastAsia="仿宋_GB2312" w:hAnsi="仿宋_GB2312" w:cs="仿宋_GB2312" w:hint="eastAsia"/>
          <w:b w:val="0"/>
          <w:bCs w:val="0"/>
          <w:color w:val="auto"/>
          <w:w w:val="100"/>
          <w:kern w:val="0"/>
          <w:sz w:val="32"/>
          <w:szCs w:val="32"/>
          <w:highlight w:val="none"/>
          <w:lang w:val="en-US" w:eastAsia="zh-CN" w:bidi="ar"/>
        </w:rPr>
        <w:t>5.3.3.4挂牌</w:t>
      </w:r>
      <w:r>
        <w:rPr>
          <w:rFonts w:ascii="仿宋_GB2312" w:eastAsia="仿宋_GB2312" w:hAnsi="仿宋_GB2312" w:cs="仿宋_GB2312" w:hint="eastAsia"/>
          <w:color w:val="auto"/>
          <w:sz w:val="32"/>
          <w:szCs w:val="32"/>
          <w:highlight w:val="none"/>
          <w:lang w:eastAsia="zh-CN" w:bidi="ar"/>
        </w:rPr>
        <w:t>价格</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color w:val="auto"/>
          <w:w w:val="100"/>
          <w:sz w:val="32"/>
          <w:szCs w:val="32"/>
          <w:highlight w:val="none"/>
          <w:lang w:val="en-US" w:eastAsia="zh-CN" w:bidi="ar-SA"/>
        </w:rPr>
      </w:pPr>
      <w:r>
        <w:rPr>
          <w:rFonts w:ascii="仿宋_GB2312" w:eastAsia="仿宋_GB2312" w:hAnsi="仿宋_GB2312" w:cs="仿宋_GB2312" w:hint="eastAsia"/>
          <w:color w:val="auto"/>
          <w:w w:val="100"/>
          <w:sz w:val="32"/>
          <w:szCs w:val="32"/>
          <w:highlight w:val="none"/>
          <w:lang w:val="en-US" w:eastAsia="zh-CN" w:bidi="ar-SA"/>
        </w:rPr>
        <w:t>年度电网代理购电挂牌交易采用统一价格，价格按照年度集中竞价交易加权平均价执行。若年度集中竞价交易成交电量占年度直接交易成交电量比例低于20%,挂牌价格按照年度直接交易（含年度绿电双边协商交易，仅计算电能量价格）中长期合约加权平均价执行。</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5.3.3.5交易申报</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电网企业只能作为挂牌方，交易方向仅能选择买入；发电企业只能作为摘牌方，交易方向仅能选择卖出。</w:t>
      </w:r>
      <w:r>
        <w:rPr>
          <w:rFonts w:ascii="仿宋_GB2312" w:eastAsia="仿宋_GB2312" w:hAnsi="仿宋_GB2312" w:cs="仿宋_GB2312" w:hint="eastAsia"/>
          <w:color w:val="auto"/>
          <w:w w:val="100"/>
          <w:sz w:val="32"/>
          <w:szCs w:val="32"/>
          <w:highlight w:val="none"/>
          <w:lang w:val="en-US" w:eastAsia="zh-CN" w:bidi="ar-SA"/>
        </w:rPr>
        <w:t>电网企业通过交易平台选择结算参考点价格后，采用带曲线形式提交挂牌信息</w:t>
      </w:r>
      <w:r>
        <w:rPr>
          <w:rFonts w:ascii="仿宋_GB2312" w:eastAsia="仿宋_GB2312" w:hAnsi="仿宋_GB2312" w:cs="仿宋_GB2312" w:hint="eastAsia"/>
          <w:b w:val="0"/>
          <w:bCs w:val="0"/>
          <w:color w:val="auto"/>
          <w:w w:val="100"/>
          <w:kern w:val="0"/>
          <w:sz w:val="32"/>
          <w:szCs w:val="32"/>
          <w:highlight w:val="none"/>
          <w:lang w:val="en-US" w:eastAsia="zh-CN" w:bidi="ar"/>
        </w:rPr>
        <w:t>（分解曲线可采用自定义或典型曲线分解到月、日、小时），形成要约。摘牌时间开始后各发电机组进行摘牌，挂牌及摘牌电量要求详见【5.2.3可申报电量约束】。</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5.3.3.6无约束出清</w:t>
      </w:r>
    </w:p>
    <w:p>
      <w:pPr>
        <w:pStyle w:val="BodyText"/>
        <w:pageBreakBefore w:val="0"/>
        <w:kinsoku/>
        <w:wordWrap/>
        <w:overflowPunct/>
        <w:topLinePunct w:val="0"/>
        <w:autoSpaceDE/>
        <w:autoSpaceDN/>
        <w:bidi w:val="0"/>
        <w:adjustRightInd/>
        <w:spacing w:line="560" w:lineRule="exact"/>
        <w:ind w:left="0" w:right="0" w:firstLine="640" w:firstLineChars="200"/>
        <w:jc w:val="both"/>
        <w:textAlignment w:val="auto"/>
        <w:outlineLvl w:val="2"/>
        <w:rPr>
          <w:rFonts w:ascii="仿宋_GB2312" w:eastAsia="仿宋_GB2312" w:hAnsi="仿宋_GB2312" w:cs="仿宋_GB2312" w:hint="default"/>
          <w:b w:val="0"/>
          <w:bCs w:val="0"/>
          <w:color w:val="auto"/>
          <w:w w:val="100"/>
          <w:kern w:val="0"/>
          <w:sz w:val="32"/>
          <w:szCs w:val="32"/>
          <w:highlight w:val="none"/>
          <w:lang w:val="en-US" w:eastAsia="zh-CN" w:bidi="ar"/>
        </w:rPr>
      </w:pPr>
      <w:r>
        <w:rPr>
          <w:rFonts w:ascii="仿宋_GB2312" w:eastAsia="仿宋_GB2312" w:hAnsi="仿宋_GB2312" w:cs="仿宋_GB2312" w:hint="eastAsia"/>
          <w:b w:val="0"/>
          <w:bCs w:val="0"/>
          <w:color w:val="auto"/>
          <w:w w:val="100"/>
          <w:kern w:val="0"/>
          <w:sz w:val="32"/>
          <w:szCs w:val="32"/>
          <w:highlight w:val="none"/>
          <w:lang w:val="en-US" w:eastAsia="zh-CN" w:bidi="ar"/>
        </w:rPr>
        <w:t>依据挂牌电量优先满足各发电机组剩余最小发电能力，剩余挂牌电量</w:t>
      </w:r>
      <w:r>
        <w:rPr>
          <w:rFonts w:ascii="仿宋_GB2312" w:eastAsia="仿宋_GB2312" w:hAnsi="仿宋_GB2312" w:cs="仿宋_GB2312" w:hint="default"/>
          <w:b w:val="0"/>
          <w:bCs w:val="0"/>
          <w:color w:val="auto"/>
          <w:w w:val="100"/>
          <w:kern w:val="0"/>
          <w:sz w:val="32"/>
          <w:szCs w:val="32"/>
          <w:highlight w:val="none"/>
          <w:lang w:val="en-US" w:eastAsia="zh-CN" w:bidi="ar"/>
        </w:rPr>
        <w:t>按</w:t>
      </w:r>
      <w:r>
        <w:rPr>
          <w:rFonts w:ascii="仿宋_GB2312" w:eastAsia="仿宋_GB2312" w:hAnsi="仿宋_GB2312" w:cs="仿宋_GB2312" w:hint="eastAsia"/>
          <w:b w:val="0"/>
          <w:bCs w:val="0"/>
          <w:color w:val="auto"/>
          <w:w w:val="100"/>
          <w:kern w:val="0"/>
          <w:sz w:val="32"/>
          <w:szCs w:val="32"/>
          <w:highlight w:val="none"/>
          <w:lang w:val="en-US" w:eastAsia="zh-CN" w:bidi="ar"/>
        </w:rPr>
        <w:t>各机组摘牌时间先后顺序成交。若主动参与摘牌量小于电网企业挂牌量或者无发电机组主动摘牌，则按参与市场化交易机组的剩余容量等比例分配。年度交易按挂、摘牌分解到月、日、小时的电量汇总后按月出清，调度安全校核环节被削减的电量，由交易中心重新组织交易，原则上不超过一次，被削减的发电机组不得再次参与交易。结算参考点价格选用原则详见【</w:t>
      </w:r>
      <w:r>
        <w:rPr>
          <w:rFonts w:ascii="仿宋_GB2312" w:eastAsia="仿宋_GB2312" w:hAnsi="仿宋_GB2312" w:cs="仿宋_GB2312" w:hint="eastAsia"/>
          <w:color w:val="auto"/>
          <w:spacing w:val="1"/>
          <w:w w:val="100"/>
          <w:highlight w:val="none"/>
          <w:lang w:eastAsia="zh-CN"/>
        </w:rPr>
        <w:t>3.</w:t>
      </w:r>
      <w:r>
        <w:rPr>
          <w:rFonts w:ascii="仿宋_GB2312" w:eastAsia="仿宋_GB2312" w:hAnsi="仿宋_GB2312" w:cs="仿宋_GB2312" w:hint="eastAsia"/>
          <w:color w:val="auto"/>
          <w:spacing w:val="1"/>
          <w:w w:val="100"/>
          <w:highlight w:val="none"/>
          <w:lang w:val="en-US" w:eastAsia="zh-CN"/>
        </w:rPr>
        <w:t>3</w:t>
      </w:r>
      <w:r>
        <w:rPr>
          <w:rFonts w:ascii="仿宋_GB2312" w:eastAsia="仿宋_GB2312" w:hAnsi="仿宋_GB2312" w:cs="仿宋_GB2312" w:hint="eastAsia"/>
          <w:color w:val="auto"/>
          <w:spacing w:val="1"/>
          <w:w w:val="100"/>
          <w:highlight w:val="none"/>
          <w:lang w:eastAsia="zh-CN"/>
        </w:rPr>
        <w:t>.6结算参考点</w:t>
      </w:r>
      <w:r>
        <w:rPr>
          <w:rFonts w:ascii="仿宋_GB2312" w:eastAsia="仿宋_GB2312" w:hAnsi="仿宋_GB2312" w:cs="仿宋_GB2312" w:hint="eastAsia"/>
          <w:b w:val="0"/>
          <w:bCs w:val="0"/>
          <w:color w:val="auto"/>
          <w:w w:val="100"/>
          <w:kern w:val="0"/>
          <w:sz w:val="32"/>
          <w:szCs w:val="32"/>
          <w:highlight w:val="none"/>
          <w:lang w:val="en-US" w:eastAsia="zh-CN" w:bidi="ar"/>
        </w:rPr>
        <w:t>】</w:t>
      </w:r>
      <w:r>
        <w:rPr>
          <w:rFonts w:ascii="仿宋_GB2312" w:eastAsia="仿宋_GB2312" w:hAnsi="仿宋_GB2312" w:cs="仿宋_GB2312" w:hint="eastAsia"/>
          <w:color w:val="auto"/>
          <w:spacing w:val="1"/>
          <w:w w:val="100"/>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2"/>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5.3.4年度绿电双边协商交易</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ascii="仿宋_GB2312" w:eastAsia="仿宋_GB2312" w:hAnsi="仿宋_GB2312" w:cs="仿宋_GB2312" w:hint="default"/>
          <w:b w:val="0"/>
          <w:bCs w:val="0"/>
          <w:color w:val="auto"/>
          <w:w w:val="100"/>
          <w:sz w:val="32"/>
          <w:szCs w:val="32"/>
          <w:highlight w:val="none"/>
          <w:lang w:val="en-US"/>
        </w:rPr>
      </w:pPr>
      <w:r>
        <w:rPr>
          <w:rFonts w:ascii="仿宋_GB2312" w:eastAsia="仿宋_GB2312" w:hAnsi="仿宋_GB2312" w:cs="仿宋_GB2312" w:hint="eastAsia"/>
          <w:b w:val="0"/>
          <w:bCs w:val="0"/>
          <w:color w:val="auto"/>
          <w:w w:val="100"/>
          <w:kern w:val="0"/>
          <w:sz w:val="32"/>
          <w:szCs w:val="32"/>
          <w:highlight w:val="none"/>
          <w:lang w:val="en-US" w:eastAsia="zh-CN" w:bidi="ar"/>
        </w:rPr>
        <w:t>5.3.4.1参与的市场成员</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已完成交易平台注册、具备绿证核发划转等其他准入条件的发电企业，其中</w:t>
      </w:r>
      <w:r>
        <w:rPr>
          <w:rFonts w:ascii="仿宋_GB2312" w:eastAsia="仿宋_GB2312" w:hAnsi="仿宋_GB2312" w:cs="仿宋_GB2312" w:hint="eastAsia"/>
          <w:color w:val="auto"/>
          <w:sz w:val="32"/>
          <w:szCs w:val="32"/>
          <w:highlight w:val="none"/>
          <w:lang w:eastAsia="zh-CN" w:bidi="ar"/>
        </w:rPr>
        <w:t>已完成市场注册但未按照相应国家或行业标准完成整套启动试运行的新建发电机组，</w:t>
      </w:r>
      <w:r>
        <w:rPr>
          <w:rFonts w:ascii="仿宋_GB2312" w:eastAsia="仿宋_GB2312" w:hAnsi="仿宋_GB2312" w:cs="仿宋_GB2312" w:hint="eastAsia"/>
          <w:color w:val="auto"/>
          <w:sz w:val="32"/>
          <w:szCs w:val="32"/>
          <w:highlight w:val="none"/>
          <w:lang w:val="en-US" w:eastAsia="zh-CN" w:bidi="ar"/>
        </w:rPr>
        <w:t>按照相关规定执行</w:t>
      </w:r>
      <w:r>
        <w:rPr>
          <w:rFonts w:ascii="仿宋_GB2312" w:eastAsia="仿宋_GB2312" w:hAnsi="仿宋_GB2312" w:cs="仿宋_GB2312" w:hint="eastAsia"/>
          <w:b w:val="0"/>
          <w:bCs w:val="0"/>
          <w:color w:val="auto"/>
          <w:w w:val="100"/>
          <w:kern w:val="0"/>
          <w:sz w:val="32"/>
          <w:szCs w:val="32"/>
          <w:highlight w:val="none"/>
          <w:lang w:val="en-US" w:eastAsia="zh-CN" w:bidi="ar"/>
        </w:rPr>
        <w:t>；选择参与当年批发交易的电力用户；</w:t>
      </w:r>
      <w:r>
        <w:rPr>
          <w:rFonts w:ascii="仿宋_GB2312" w:eastAsia="仿宋_GB2312" w:hAnsi="仿宋_GB2312" w:cs="仿宋_GB2312" w:hint="eastAsia"/>
          <w:color w:val="auto"/>
          <w:sz w:val="32"/>
          <w:szCs w:val="32"/>
          <w:highlight w:val="none"/>
          <w:lang w:eastAsia="zh-CN" w:bidi="ar"/>
        </w:rPr>
        <w:t>具有参加中长期电能量交易资格</w:t>
      </w:r>
      <w:r>
        <w:rPr>
          <w:rFonts w:ascii="仿宋_GB2312" w:eastAsia="仿宋_GB2312" w:hAnsi="仿宋_GB2312" w:cs="仿宋_GB2312" w:hint="eastAsia"/>
          <w:color w:val="auto"/>
          <w:sz w:val="32"/>
          <w:szCs w:val="32"/>
          <w:highlight w:val="none"/>
          <w:lang w:val="en-US" w:eastAsia="zh-CN" w:bidi="ar"/>
        </w:rPr>
        <w:t>且</w:t>
      </w:r>
      <w:r>
        <w:rPr>
          <w:rFonts w:ascii="仿宋_GB2312" w:eastAsia="仿宋_GB2312" w:hAnsi="仿宋_GB2312" w:cs="仿宋_GB2312" w:hint="eastAsia"/>
          <w:color w:val="auto"/>
          <w:sz w:val="32"/>
          <w:szCs w:val="32"/>
          <w:highlight w:val="none"/>
          <w:lang w:eastAsia="zh-CN" w:bidi="ar"/>
        </w:rPr>
        <w:t>与有绿色电力需求的零售用户签订绿电交易零售合同</w:t>
      </w:r>
      <w:r>
        <w:rPr>
          <w:rFonts w:ascii="仿宋_GB2312" w:eastAsia="仿宋_GB2312" w:hAnsi="仿宋_GB2312" w:cs="仿宋_GB2312" w:hint="eastAsia"/>
          <w:color w:val="auto"/>
          <w:sz w:val="32"/>
          <w:szCs w:val="32"/>
          <w:highlight w:val="none"/>
          <w:lang w:val="en-US" w:eastAsia="zh-CN" w:bidi="ar"/>
        </w:rPr>
        <w:t>的</w:t>
      </w:r>
      <w:r>
        <w:rPr>
          <w:rFonts w:ascii="仿宋_GB2312" w:eastAsia="仿宋_GB2312" w:hAnsi="仿宋_GB2312" w:cs="仿宋_GB2312" w:hint="eastAsia"/>
          <w:b w:val="0"/>
          <w:bCs w:val="0"/>
          <w:color w:val="auto"/>
          <w:w w:val="100"/>
          <w:kern w:val="0"/>
          <w:sz w:val="32"/>
          <w:szCs w:val="32"/>
          <w:highlight w:val="none"/>
          <w:lang w:val="en-US" w:eastAsia="zh-CN" w:bidi="ar"/>
        </w:rPr>
        <w:t>售电公司。</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5.3.4.2交易周期及标的</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年度绿电双边协商交易的标的物为直接交易经营主体次年</w:t>
      </w:r>
      <w:r>
        <w:rPr>
          <w:rFonts w:ascii="仿宋_GB2312" w:eastAsia="仿宋_GB2312" w:hAnsi="仿宋_GB2312" w:cs="仿宋_GB2312" w:hint="eastAsia"/>
          <w:color w:val="auto"/>
          <w:sz w:val="32"/>
          <w:szCs w:val="32"/>
          <w:highlight w:val="none"/>
          <w:lang w:eastAsia="zh-CN" w:bidi="ar"/>
        </w:rPr>
        <w:t>绿色电力和对应绿色电力环境价值</w:t>
      </w:r>
      <w:r>
        <w:rPr>
          <w:rFonts w:ascii="仿宋_GB2312" w:eastAsia="仿宋_GB2312" w:hAnsi="仿宋_GB2312" w:cs="仿宋_GB2312" w:hint="eastAsia"/>
          <w:b w:val="0"/>
          <w:bCs w:val="0"/>
          <w:color w:val="auto"/>
          <w:w w:val="100"/>
          <w:kern w:val="0"/>
          <w:sz w:val="32"/>
          <w:szCs w:val="32"/>
          <w:highlight w:val="none"/>
          <w:lang w:val="en-US" w:eastAsia="zh-CN" w:bidi="ar"/>
        </w:rPr>
        <w:t>的电量。</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5.3.4.3交易公告发布</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交易中心发布年度交易公告，内容包括但不限于：</w:t>
      </w:r>
      <w:r>
        <w:rPr>
          <w:rFonts w:ascii="仿宋_GB2312" w:eastAsia="仿宋_GB2312" w:hAnsi="仿宋_GB2312" w:cs="仿宋_GB2312" w:hint="eastAsia"/>
          <w:color w:val="auto"/>
          <w:sz w:val="32"/>
          <w:szCs w:val="32"/>
          <w:highlight w:val="none"/>
          <w:lang w:eastAsia="zh-CN" w:bidi="ar"/>
        </w:rPr>
        <w:t>交易品种、交易主体、交易方式、交易申报时间、交易执行时间、交易参数、出清方式、交易约束信息、交易操作说明、其他准备信息等</w:t>
      </w:r>
      <w:r>
        <w:rPr>
          <w:rFonts w:ascii="仿宋_GB2312" w:eastAsia="仿宋_GB2312" w:hAnsi="仿宋_GB2312" w:cs="仿宋_GB2312" w:hint="eastAsia"/>
          <w:b w:val="0"/>
          <w:bCs w:val="0"/>
          <w:color w:val="auto"/>
          <w:w w:val="100"/>
          <w:kern w:val="0"/>
          <w:sz w:val="32"/>
          <w:szCs w:val="32"/>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5.3.4.4交易申报</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default"/>
          <w:b w:val="0"/>
          <w:bCs w:val="0"/>
          <w:color w:val="auto"/>
          <w:w w:val="100"/>
          <w:sz w:val="32"/>
          <w:szCs w:val="32"/>
          <w:highlight w:val="none"/>
          <w:lang w:val="en-US"/>
        </w:rPr>
      </w:pPr>
      <w:r>
        <w:rPr>
          <w:rFonts w:ascii="仿宋_GB2312" w:eastAsia="仿宋_GB2312" w:hAnsi="仿宋_GB2312" w:cs="仿宋_GB2312" w:hint="eastAsia"/>
          <w:b w:val="0"/>
          <w:bCs w:val="0"/>
          <w:color w:val="auto"/>
          <w:w w:val="100"/>
          <w:sz w:val="32"/>
          <w:szCs w:val="32"/>
          <w:highlight w:val="none"/>
          <w:lang w:val="en-US" w:eastAsia="zh-CN"/>
        </w:rPr>
        <w:t>发电企业只能作为卖方，电力用户和售电公司只能作为买方</w:t>
      </w:r>
      <w:r>
        <w:rPr>
          <w:rFonts w:ascii="仿宋_GB2312" w:eastAsia="仿宋_GB2312" w:hAnsi="仿宋_GB2312" w:cs="仿宋_GB2312" w:hint="eastAsia"/>
          <w:b w:val="0"/>
          <w:bCs w:val="0"/>
          <w:color w:val="auto"/>
          <w:w w:val="100"/>
          <w:kern w:val="0"/>
          <w:sz w:val="32"/>
          <w:szCs w:val="32"/>
          <w:highlight w:val="none"/>
          <w:lang w:val="en-US" w:eastAsia="zh-CN" w:bidi="ar"/>
        </w:rPr>
        <w:t>。</w:t>
      </w:r>
      <w:r>
        <w:rPr>
          <w:rFonts w:ascii="仿宋_GB2312" w:eastAsia="仿宋_GB2312" w:hAnsi="仿宋_GB2312" w:cs="仿宋_GB2312" w:hint="eastAsia"/>
          <w:color w:val="auto"/>
          <w:sz w:val="32"/>
          <w:szCs w:val="32"/>
          <w:highlight w:val="none"/>
          <w:lang w:eastAsia="zh-CN" w:bidi="ar"/>
        </w:rPr>
        <w:t>经营主</w:t>
      </w:r>
      <w:r>
        <w:rPr>
          <w:rFonts w:ascii="仿宋_GB2312" w:eastAsia="仿宋_GB2312" w:hAnsi="仿宋_GB2312" w:cs="仿宋_GB2312" w:hint="eastAsia"/>
          <w:b w:val="0"/>
          <w:bCs w:val="0"/>
          <w:color w:val="auto"/>
          <w:sz w:val="32"/>
          <w:szCs w:val="32"/>
          <w:highlight w:val="none"/>
          <w:lang w:eastAsia="zh-CN" w:bidi="ar"/>
        </w:rPr>
        <w:t>体自主协商确定结算参考点价格、交易电量和交易价格</w:t>
      </w:r>
      <w:r>
        <w:rPr>
          <w:rFonts w:ascii="仿宋_GB2312" w:eastAsia="仿宋_GB2312" w:hAnsi="仿宋_GB2312" w:cs="仿宋_GB2312" w:hint="eastAsia"/>
          <w:b w:val="0"/>
          <w:bCs w:val="0"/>
          <w:color w:val="auto"/>
          <w:w w:val="100"/>
          <w:kern w:val="0"/>
          <w:sz w:val="32"/>
          <w:szCs w:val="32"/>
          <w:highlight w:val="none"/>
          <w:lang w:val="en-US" w:eastAsia="zh-CN" w:bidi="ar"/>
        </w:rPr>
        <w:t>（包含电能量价格与绿证价格）</w:t>
      </w:r>
      <w:r>
        <w:rPr>
          <w:rFonts w:ascii="仿宋_GB2312" w:eastAsia="仿宋_GB2312" w:hAnsi="仿宋_GB2312" w:cs="仿宋_GB2312" w:hint="eastAsia"/>
          <w:b w:val="0"/>
          <w:bCs w:val="0"/>
          <w:color w:val="auto"/>
          <w:sz w:val="32"/>
          <w:szCs w:val="32"/>
          <w:highlight w:val="none"/>
          <w:lang w:eastAsia="zh-CN" w:bidi="ar"/>
        </w:rPr>
        <w:t>后，</w:t>
      </w:r>
      <w:r>
        <w:rPr>
          <w:rFonts w:ascii="仿宋_GB2312" w:eastAsia="仿宋_GB2312" w:hAnsi="仿宋_GB2312" w:cs="仿宋_GB2312" w:hint="eastAsia"/>
          <w:color w:val="auto"/>
          <w:sz w:val="32"/>
          <w:szCs w:val="32"/>
          <w:highlight w:val="none"/>
          <w:lang w:eastAsia="zh-CN" w:bidi="ar"/>
        </w:rPr>
        <w:t>根据交易时间安排，由任意一方在交易平台中发起申报，另一方在申报时间截止前进行确认后达成交易意向，未在申报时间截止前确认的视为未成交，</w:t>
      </w:r>
      <w:r>
        <w:rPr>
          <w:rFonts w:ascii="仿宋_GB2312" w:eastAsia="仿宋_GB2312" w:hAnsi="仿宋_GB2312" w:cs="仿宋_GB2312" w:hint="eastAsia"/>
          <w:color w:val="auto"/>
          <w:w w:val="100"/>
          <w:sz w:val="32"/>
          <w:szCs w:val="32"/>
          <w:highlight w:val="none"/>
          <w:lang w:val="en-US" w:eastAsia="zh-CN" w:bidi="ar-SA"/>
        </w:rPr>
        <w:t>交易电量和交易价格采用带曲线方式提交</w:t>
      </w:r>
      <w:r>
        <w:rPr>
          <w:rFonts w:ascii="仿宋_GB2312" w:eastAsia="仿宋_GB2312" w:hAnsi="仿宋_GB2312" w:cs="仿宋_GB2312" w:hint="eastAsia"/>
          <w:b w:val="0"/>
          <w:bCs w:val="0"/>
          <w:color w:val="auto"/>
          <w:w w:val="100"/>
          <w:kern w:val="0"/>
          <w:sz w:val="32"/>
          <w:szCs w:val="32"/>
          <w:highlight w:val="none"/>
          <w:lang w:val="en-US" w:eastAsia="zh-CN" w:bidi="ar"/>
        </w:rPr>
        <w:t>（分解曲线可采用自定义或典型曲线分解到月、日、小时）</w:t>
      </w:r>
      <w:r>
        <w:rPr>
          <w:rFonts w:ascii="仿宋_GB2312" w:eastAsia="仿宋_GB2312" w:hAnsi="仿宋_GB2312" w:cs="仿宋_GB2312" w:hint="eastAsia"/>
          <w:color w:val="auto"/>
          <w:sz w:val="32"/>
          <w:szCs w:val="32"/>
          <w:highlight w:val="none"/>
          <w:lang w:eastAsia="zh-CN" w:bidi="ar"/>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2"/>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5.3.5</w:t>
      </w:r>
      <w:r>
        <w:rPr>
          <w:rFonts w:ascii="仿宋_GB2312" w:eastAsia="仿宋_GB2312" w:hAnsi="仿宋_GB2312" w:cs="仿宋_GB2312" w:hint="eastAsia"/>
          <w:color w:val="auto"/>
          <w:sz w:val="32"/>
          <w:szCs w:val="32"/>
          <w:highlight w:val="none"/>
          <w:lang w:eastAsia="zh-CN" w:bidi="ar"/>
        </w:rPr>
        <w:t>月度（多月）</w:t>
      </w:r>
      <w:r>
        <w:rPr>
          <w:rFonts w:ascii="仿宋_GB2312" w:eastAsia="仿宋_GB2312" w:hAnsi="仿宋_GB2312" w:cs="仿宋_GB2312" w:hint="eastAsia"/>
          <w:b w:val="0"/>
          <w:bCs w:val="0"/>
          <w:color w:val="auto"/>
          <w:w w:val="100"/>
          <w:kern w:val="0"/>
          <w:sz w:val="32"/>
          <w:szCs w:val="32"/>
          <w:highlight w:val="none"/>
          <w:lang w:val="en-US" w:eastAsia="zh-CN" w:bidi="ar"/>
        </w:rPr>
        <w:t>双边协商交易</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5.3.5.1参与的市场成员</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color w:val="auto"/>
          <w:w w:val="100"/>
          <w:sz w:val="32"/>
          <w:szCs w:val="32"/>
          <w:highlight w:val="none"/>
          <w:lang w:val="en-US" w:eastAsia="zh-CN" w:bidi="ar-SA"/>
        </w:rPr>
      </w:pPr>
      <w:r>
        <w:rPr>
          <w:rFonts w:ascii="仿宋_GB2312" w:eastAsia="仿宋_GB2312" w:hAnsi="仿宋_GB2312" w:cs="仿宋_GB2312" w:hint="eastAsia"/>
          <w:color w:val="auto"/>
          <w:w w:val="100"/>
          <w:sz w:val="32"/>
          <w:szCs w:val="32"/>
          <w:highlight w:val="none"/>
          <w:lang w:val="en-US" w:eastAsia="zh-CN" w:bidi="ar-SA"/>
        </w:rPr>
        <w:t>当年1月1日及以后入市的批发电力用户和售电公司（全年只能参与首次），已完成交易平台注册且符合准入条件的发电企业和独立储能</w:t>
      </w:r>
      <w:r>
        <w:rPr>
          <w:rFonts w:ascii="仿宋_GB2312" w:eastAsia="仿宋_GB2312" w:hAnsi="仿宋_GB2312" w:cs="仿宋_GB2312" w:hint="eastAsia"/>
          <w:b w:val="0"/>
          <w:bCs w:val="0"/>
          <w:color w:val="auto"/>
          <w:w w:val="100"/>
          <w:kern w:val="0"/>
          <w:sz w:val="32"/>
          <w:szCs w:val="32"/>
          <w:highlight w:val="none"/>
          <w:lang w:val="en-US" w:eastAsia="zh-CN" w:bidi="ar"/>
        </w:rPr>
        <w:t>，其中</w:t>
      </w:r>
      <w:r>
        <w:rPr>
          <w:rFonts w:ascii="仿宋_GB2312" w:eastAsia="仿宋_GB2312" w:hAnsi="仿宋_GB2312" w:cs="仿宋_GB2312" w:hint="eastAsia"/>
          <w:color w:val="auto"/>
          <w:sz w:val="32"/>
          <w:szCs w:val="32"/>
          <w:highlight w:val="none"/>
          <w:lang w:eastAsia="zh-CN" w:bidi="ar"/>
        </w:rPr>
        <w:t>已完成市场注册但未按照相应国家或行业标准完成整套启动试运行的新建发电机组，</w:t>
      </w:r>
      <w:r>
        <w:rPr>
          <w:rFonts w:ascii="仿宋_GB2312" w:eastAsia="仿宋_GB2312" w:hAnsi="仿宋_GB2312" w:cs="仿宋_GB2312" w:hint="eastAsia"/>
          <w:color w:val="auto"/>
          <w:sz w:val="32"/>
          <w:szCs w:val="32"/>
          <w:highlight w:val="none"/>
          <w:lang w:val="en-US" w:eastAsia="zh-CN" w:bidi="ar"/>
        </w:rPr>
        <w:t>按照相关规定执行</w:t>
      </w:r>
      <w:r>
        <w:rPr>
          <w:rFonts w:ascii="仿宋_GB2312" w:eastAsia="仿宋_GB2312" w:hAnsi="仿宋_GB2312" w:cs="仿宋_GB2312" w:hint="eastAsia"/>
          <w:color w:val="auto"/>
          <w:w w:val="100"/>
          <w:sz w:val="32"/>
          <w:szCs w:val="32"/>
          <w:highlight w:val="none"/>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5.3.5.2交易周期及标的</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color w:val="auto"/>
          <w:sz w:val="32"/>
          <w:szCs w:val="32"/>
          <w:highlight w:val="none"/>
          <w:lang w:eastAsia="zh-CN" w:bidi="ar"/>
        </w:rPr>
        <w:t>月度（多月）</w:t>
      </w:r>
      <w:r>
        <w:rPr>
          <w:rFonts w:ascii="仿宋_GB2312" w:eastAsia="仿宋_GB2312" w:hAnsi="仿宋_GB2312" w:cs="仿宋_GB2312" w:hint="eastAsia"/>
          <w:b w:val="0"/>
          <w:bCs w:val="0"/>
          <w:color w:val="auto"/>
          <w:w w:val="100"/>
          <w:kern w:val="0"/>
          <w:sz w:val="32"/>
          <w:szCs w:val="32"/>
          <w:highlight w:val="none"/>
          <w:lang w:val="en-US" w:eastAsia="zh-CN" w:bidi="ar"/>
        </w:rPr>
        <w:t>双边协商交易的标的物为直接交易经营主体</w:t>
      </w:r>
      <w:r>
        <w:rPr>
          <w:rFonts w:ascii="仿宋_GB2312" w:eastAsia="仿宋_GB2312" w:hAnsi="仿宋_GB2312" w:cs="仿宋_GB2312" w:hint="eastAsia"/>
          <w:color w:val="auto"/>
          <w:sz w:val="32"/>
          <w:szCs w:val="32"/>
          <w:highlight w:val="none"/>
          <w:lang w:eastAsia="zh-CN" w:bidi="ar"/>
        </w:rPr>
        <w:t>次月至年底12月31日</w:t>
      </w:r>
      <w:r>
        <w:rPr>
          <w:rFonts w:ascii="仿宋_GB2312" w:eastAsia="仿宋_GB2312" w:hAnsi="仿宋_GB2312" w:cs="仿宋_GB2312" w:hint="eastAsia"/>
          <w:b w:val="0"/>
          <w:bCs w:val="0"/>
          <w:color w:val="auto"/>
          <w:w w:val="100"/>
          <w:kern w:val="0"/>
          <w:sz w:val="32"/>
          <w:szCs w:val="32"/>
          <w:highlight w:val="none"/>
          <w:lang w:val="en-US" w:eastAsia="zh-CN" w:bidi="ar"/>
        </w:rPr>
        <w:t>的电量。</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5.3.5.3交易公告发布</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交易中心发布</w:t>
      </w:r>
      <w:r>
        <w:rPr>
          <w:rFonts w:ascii="仿宋_GB2312" w:eastAsia="仿宋_GB2312" w:hAnsi="仿宋_GB2312" w:cs="仿宋_GB2312" w:hint="eastAsia"/>
          <w:color w:val="auto"/>
          <w:sz w:val="32"/>
          <w:szCs w:val="32"/>
          <w:highlight w:val="none"/>
          <w:lang w:eastAsia="zh-CN" w:bidi="ar"/>
        </w:rPr>
        <w:t>月度（多月）</w:t>
      </w:r>
      <w:r>
        <w:rPr>
          <w:rFonts w:ascii="仿宋_GB2312" w:eastAsia="仿宋_GB2312" w:hAnsi="仿宋_GB2312" w:cs="仿宋_GB2312" w:hint="eastAsia"/>
          <w:b w:val="0"/>
          <w:bCs w:val="0"/>
          <w:color w:val="auto"/>
          <w:w w:val="100"/>
          <w:kern w:val="0"/>
          <w:sz w:val="32"/>
          <w:szCs w:val="32"/>
          <w:highlight w:val="none"/>
          <w:lang w:val="en-US" w:eastAsia="zh-CN" w:bidi="ar"/>
        </w:rPr>
        <w:t>交易公告，内容包括但不限于：</w:t>
      </w:r>
      <w:r>
        <w:rPr>
          <w:rFonts w:ascii="仿宋_GB2312" w:eastAsia="仿宋_GB2312" w:hAnsi="仿宋_GB2312" w:cs="仿宋_GB2312" w:hint="eastAsia"/>
          <w:color w:val="auto"/>
          <w:sz w:val="32"/>
          <w:szCs w:val="32"/>
          <w:highlight w:val="none"/>
          <w:lang w:eastAsia="zh-CN" w:bidi="ar"/>
        </w:rPr>
        <w:t>交易品种、交易主体、交易方式、交易申报时间、交易执行时间、交易参数、出清方式、交易约束信息、交易操作说明、其他准备信息等</w:t>
      </w:r>
      <w:r>
        <w:rPr>
          <w:rFonts w:ascii="仿宋_GB2312" w:eastAsia="仿宋_GB2312" w:hAnsi="仿宋_GB2312" w:cs="仿宋_GB2312" w:hint="eastAsia"/>
          <w:b w:val="0"/>
          <w:bCs w:val="0"/>
          <w:color w:val="auto"/>
          <w:w w:val="100"/>
          <w:kern w:val="0"/>
          <w:sz w:val="32"/>
          <w:szCs w:val="32"/>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5.3.5.4交易申报</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kern w:val="0"/>
          <w:sz w:val="32"/>
          <w:szCs w:val="32"/>
          <w:highlight w:val="none"/>
          <w:lang w:val="en-US" w:eastAsia="zh-CN" w:bidi="ar"/>
        </w:rPr>
      </w:pPr>
      <w:r>
        <w:rPr>
          <w:rFonts w:ascii="仿宋_GB2312" w:eastAsia="仿宋_GB2312" w:hAnsi="仿宋_GB2312" w:cs="仿宋_GB2312" w:hint="eastAsia"/>
          <w:b w:val="0"/>
          <w:bCs w:val="0"/>
          <w:color w:val="auto"/>
          <w:w w:val="100"/>
          <w:kern w:val="0"/>
          <w:sz w:val="32"/>
          <w:szCs w:val="32"/>
          <w:highlight w:val="none"/>
          <w:lang w:val="en-US" w:eastAsia="zh-CN" w:bidi="ar"/>
        </w:rPr>
        <w:t>按【5.3.1年度双边协商交易】的交易申报方式执行，如有变化，以正式发布公告为准。</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2"/>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5.3.6月度绿电双边协商交易</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5.3.6.1参与的市场成员</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已完成交易平台注册、具备绿证核发划转等其他准入条件的发电企业；选择参与当年批发交易的电力用户；</w:t>
      </w:r>
      <w:r>
        <w:rPr>
          <w:rFonts w:ascii="仿宋_GB2312" w:eastAsia="仿宋_GB2312" w:hAnsi="仿宋_GB2312" w:cs="仿宋_GB2312" w:hint="eastAsia"/>
          <w:color w:val="auto"/>
          <w:sz w:val="32"/>
          <w:szCs w:val="32"/>
          <w:highlight w:val="none"/>
          <w:lang w:eastAsia="zh-CN" w:bidi="ar"/>
        </w:rPr>
        <w:t>具有参加中长期电能量交易资格</w:t>
      </w:r>
      <w:r>
        <w:rPr>
          <w:rFonts w:ascii="仿宋_GB2312" w:eastAsia="仿宋_GB2312" w:hAnsi="仿宋_GB2312" w:cs="仿宋_GB2312" w:hint="eastAsia"/>
          <w:color w:val="auto"/>
          <w:sz w:val="32"/>
          <w:szCs w:val="32"/>
          <w:highlight w:val="none"/>
          <w:lang w:val="en-US" w:eastAsia="zh-CN" w:bidi="ar"/>
        </w:rPr>
        <w:t>且</w:t>
      </w:r>
      <w:r>
        <w:rPr>
          <w:rFonts w:ascii="仿宋_GB2312" w:eastAsia="仿宋_GB2312" w:hAnsi="仿宋_GB2312" w:cs="仿宋_GB2312" w:hint="eastAsia"/>
          <w:color w:val="auto"/>
          <w:sz w:val="32"/>
          <w:szCs w:val="32"/>
          <w:highlight w:val="none"/>
          <w:lang w:eastAsia="zh-CN" w:bidi="ar"/>
        </w:rPr>
        <w:t>与有绿色电力需求的零售用户签订绿电交易零售合同</w:t>
      </w:r>
      <w:r>
        <w:rPr>
          <w:rFonts w:ascii="仿宋_GB2312" w:eastAsia="仿宋_GB2312" w:hAnsi="仿宋_GB2312" w:cs="仿宋_GB2312" w:hint="eastAsia"/>
          <w:color w:val="auto"/>
          <w:sz w:val="32"/>
          <w:szCs w:val="32"/>
          <w:highlight w:val="none"/>
          <w:lang w:val="en-US" w:eastAsia="zh-CN" w:bidi="ar"/>
        </w:rPr>
        <w:t>的</w:t>
      </w:r>
      <w:r>
        <w:rPr>
          <w:rFonts w:ascii="仿宋_GB2312" w:eastAsia="仿宋_GB2312" w:hAnsi="仿宋_GB2312" w:cs="仿宋_GB2312" w:hint="eastAsia"/>
          <w:b w:val="0"/>
          <w:bCs w:val="0"/>
          <w:color w:val="auto"/>
          <w:w w:val="100"/>
          <w:kern w:val="0"/>
          <w:sz w:val="32"/>
          <w:szCs w:val="32"/>
          <w:highlight w:val="none"/>
          <w:lang w:val="en-US" w:eastAsia="zh-CN" w:bidi="ar"/>
        </w:rPr>
        <w:t>售电公司。</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5.3.6.2交易周期及标的</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月度绿电双边协商交易的标的物为直接交易经营主体次月的</w:t>
      </w:r>
      <w:r>
        <w:rPr>
          <w:rFonts w:ascii="仿宋_GB2312" w:eastAsia="仿宋_GB2312" w:hAnsi="仿宋_GB2312" w:cs="仿宋_GB2312" w:hint="eastAsia"/>
          <w:color w:val="auto"/>
          <w:sz w:val="32"/>
          <w:szCs w:val="32"/>
          <w:highlight w:val="none"/>
          <w:lang w:eastAsia="zh-CN" w:bidi="ar"/>
        </w:rPr>
        <w:t>绿色电力和对应绿色电力环境价值</w:t>
      </w:r>
      <w:r>
        <w:rPr>
          <w:rFonts w:ascii="仿宋_GB2312" w:eastAsia="仿宋_GB2312" w:hAnsi="仿宋_GB2312" w:cs="仿宋_GB2312" w:hint="eastAsia"/>
          <w:b w:val="0"/>
          <w:bCs w:val="0"/>
          <w:color w:val="auto"/>
          <w:w w:val="100"/>
          <w:kern w:val="0"/>
          <w:sz w:val="32"/>
          <w:szCs w:val="32"/>
          <w:highlight w:val="none"/>
          <w:lang w:val="en-US" w:eastAsia="zh-CN" w:bidi="ar"/>
        </w:rPr>
        <w:t>的电量。</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5.3.6.3交易公告发布</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按【5.3.4年度绿电双边协商交易】的交易公告发布要求执行，如有变化以正式发布公告为准。</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5.3.6.4交易申报</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kern w:val="0"/>
          <w:sz w:val="32"/>
          <w:szCs w:val="32"/>
          <w:highlight w:val="none"/>
          <w:lang w:val="en-US" w:eastAsia="zh-CN" w:bidi="ar"/>
        </w:rPr>
      </w:pPr>
      <w:r>
        <w:rPr>
          <w:rFonts w:ascii="仿宋_GB2312" w:eastAsia="仿宋_GB2312" w:hAnsi="仿宋_GB2312" w:cs="仿宋_GB2312" w:hint="eastAsia"/>
          <w:b w:val="0"/>
          <w:bCs w:val="0"/>
          <w:color w:val="auto"/>
          <w:w w:val="100"/>
          <w:kern w:val="0"/>
          <w:sz w:val="32"/>
          <w:szCs w:val="32"/>
          <w:highlight w:val="none"/>
          <w:lang w:val="en-US" w:eastAsia="zh-CN" w:bidi="ar"/>
        </w:rPr>
        <w:t>按【5.3.4年度绿电双边协商交易】的交易申报方式执行，如有变化，以正式发布公告为准。</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2"/>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5.3.7月度集中交易</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可采用集中竞价、滚动撮合、挂牌交易任意一种或多种方式开展。允许各交易单元作为合约的买方或卖方单向参与月度集中交易。</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5.3.7.1参与的市场成员</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已完成交易平台注册且符合准入条件的发电企业、电力用户、售电公司、独立储能。</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5.3.7.2交易周期及标的</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月度集中交易的标的物为直接交易经营主体次月的电量。</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5.3.7.3交易公告发布</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交易中心发布月度集中交易公告，内容包括但不限于：</w:t>
      </w:r>
      <w:r>
        <w:rPr>
          <w:rFonts w:ascii="仿宋_GB2312" w:eastAsia="仿宋_GB2312" w:hAnsi="仿宋_GB2312" w:cs="仿宋_GB2312" w:hint="eastAsia"/>
          <w:color w:val="auto"/>
          <w:sz w:val="32"/>
          <w:szCs w:val="32"/>
          <w:highlight w:val="none"/>
          <w:lang w:eastAsia="zh-CN" w:bidi="ar"/>
        </w:rPr>
        <w:t>交易品种、交易主体、交易方式、交易申报时间、交易执行时间、交易参数、出清方式、交易约束信息、交易操作说明、其他准备信息等</w:t>
      </w:r>
      <w:r>
        <w:rPr>
          <w:rFonts w:ascii="仿宋_GB2312" w:eastAsia="仿宋_GB2312" w:hAnsi="仿宋_GB2312" w:cs="仿宋_GB2312" w:hint="eastAsia"/>
          <w:b w:val="0"/>
          <w:bCs w:val="0"/>
          <w:color w:val="auto"/>
          <w:w w:val="100"/>
          <w:kern w:val="0"/>
          <w:sz w:val="32"/>
          <w:szCs w:val="32"/>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5.3.7.4交易申报</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5.3.7.4.1集中竞价交易：各交易单元通过交易平台</w:t>
      </w:r>
      <w:r>
        <w:rPr>
          <w:rFonts w:ascii="仿宋_GB2312" w:eastAsia="仿宋_GB2312" w:hAnsi="仿宋_GB2312" w:cs="仿宋_GB2312" w:hint="eastAsia"/>
          <w:color w:val="auto"/>
          <w:w w:val="100"/>
          <w:sz w:val="32"/>
          <w:szCs w:val="32"/>
          <w:highlight w:val="none"/>
          <w:lang w:val="en-US" w:eastAsia="zh-CN" w:bidi="ar-SA"/>
        </w:rPr>
        <w:t>采用分时段（全月24小时分时电量）或带曲线方式申报标的周期内拟买入或卖出的分时交易电量和交易价格</w:t>
      </w:r>
      <w:r>
        <w:rPr>
          <w:rFonts w:ascii="仿宋_GB2312" w:eastAsia="仿宋_GB2312" w:hAnsi="仿宋_GB2312" w:cs="仿宋_GB2312" w:hint="eastAsia"/>
          <w:b w:val="0"/>
          <w:bCs w:val="0"/>
          <w:color w:val="auto"/>
          <w:w w:val="100"/>
          <w:kern w:val="0"/>
          <w:sz w:val="32"/>
          <w:szCs w:val="32"/>
          <w:highlight w:val="none"/>
          <w:lang w:val="en-US" w:eastAsia="zh-CN" w:bidi="ar"/>
        </w:rPr>
        <w:t>，申报电量要求详见【5.2.3可申报电量约束】，申报时间截止前可对已申报数据进行撤销。</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kern w:val="0"/>
          <w:sz w:val="32"/>
          <w:szCs w:val="32"/>
          <w:highlight w:val="none"/>
          <w:lang w:val="en-US" w:eastAsia="zh-CN" w:bidi="ar"/>
        </w:rPr>
      </w:pPr>
      <w:r>
        <w:rPr>
          <w:rFonts w:ascii="仿宋_GB2312" w:eastAsia="仿宋_GB2312" w:hAnsi="仿宋_GB2312" w:cs="仿宋_GB2312" w:hint="eastAsia"/>
          <w:b w:val="0"/>
          <w:bCs w:val="0"/>
          <w:color w:val="auto"/>
          <w:w w:val="100"/>
          <w:kern w:val="0"/>
          <w:sz w:val="32"/>
          <w:szCs w:val="32"/>
          <w:highlight w:val="none"/>
          <w:lang w:val="en-US" w:eastAsia="zh-CN" w:bidi="ar"/>
        </w:rPr>
        <w:t>5.3.7.4.2滚动撮合交易：集中竞价阶段未成交的交易申报自动进入滚动撮合阶段。各交易单元在指定的交易时段内，通过交易平台</w:t>
      </w:r>
      <w:r>
        <w:rPr>
          <w:rFonts w:ascii="仿宋_GB2312" w:eastAsia="仿宋_GB2312" w:hAnsi="仿宋_GB2312" w:cs="仿宋_GB2312" w:hint="eastAsia"/>
          <w:color w:val="auto"/>
          <w:w w:val="100"/>
          <w:sz w:val="32"/>
          <w:szCs w:val="32"/>
          <w:highlight w:val="none"/>
          <w:lang w:val="en-US" w:eastAsia="zh-CN" w:bidi="ar-SA"/>
        </w:rPr>
        <w:t>采用分时段（全月24小时分时电量）或带曲线方式申报标的周期内拟买入或卖出的交易电量和交易价格</w:t>
      </w:r>
      <w:r>
        <w:rPr>
          <w:rFonts w:ascii="仿宋_GB2312" w:eastAsia="仿宋_GB2312" w:hAnsi="仿宋_GB2312" w:cs="仿宋_GB2312" w:hint="eastAsia"/>
          <w:b w:val="0"/>
          <w:bCs w:val="0"/>
          <w:color w:val="auto"/>
          <w:w w:val="100"/>
          <w:kern w:val="0"/>
          <w:sz w:val="32"/>
          <w:szCs w:val="32"/>
          <w:highlight w:val="none"/>
          <w:lang w:val="en-US" w:eastAsia="zh-CN" w:bidi="ar"/>
        </w:rPr>
        <w:t>，申报电量要求详见【5.2.3可申报电量约束】，各交易单元未成交的交易申报电量可在交易窗口时间内撤销，已成交的交易申报电量不能撤销。</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5.3.7.4.3挂牌交易：挂牌方通过交易平台</w:t>
      </w:r>
      <w:r>
        <w:rPr>
          <w:rFonts w:ascii="仿宋_GB2312" w:eastAsia="仿宋_GB2312" w:hAnsi="仿宋_GB2312" w:cs="仿宋_GB2312" w:hint="eastAsia"/>
          <w:color w:val="auto"/>
          <w:sz w:val="32"/>
          <w:szCs w:val="32"/>
          <w:highlight w:val="none"/>
          <w:lang w:eastAsia="zh-CN" w:bidi="ar"/>
        </w:rPr>
        <w:t>采</w:t>
      </w:r>
      <w:r>
        <w:rPr>
          <w:rFonts w:ascii="仿宋_GB2312" w:eastAsia="仿宋_GB2312" w:hAnsi="仿宋_GB2312" w:cs="仿宋_GB2312" w:hint="eastAsia"/>
          <w:color w:val="auto"/>
          <w:w w:val="100"/>
          <w:sz w:val="32"/>
          <w:szCs w:val="32"/>
          <w:highlight w:val="none"/>
          <w:lang w:val="en-US" w:eastAsia="zh-CN" w:bidi="ar-SA"/>
        </w:rPr>
        <w:t>用分时段（全月24小时分时电量）或带曲线方式申报标的周期内拟买入或卖出的交易电量和交易价格</w:t>
      </w:r>
      <w:r>
        <w:rPr>
          <w:rFonts w:ascii="仿宋_GB2312" w:eastAsia="仿宋_GB2312" w:hAnsi="仿宋_GB2312" w:cs="仿宋_GB2312" w:hint="eastAsia"/>
          <w:b w:val="0"/>
          <w:bCs w:val="0"/>
          <w:color w:val="auto"/>
          <w:w w:val="100"/>
          <w:kern w:val="0"/>
          <w:sz w:val="32"/>
          <w:szCs w:val="32"/>
          <w:highlight w:val="none"/>
          <w:lang w:val="en-US" w:eastAsia="zh-CN" w:bidi="ar"/>
        </w:rPr>
        <w:t>对外发布要约，摘牌方自主选择已经挂牌的电量进行摘牌，可全部摘牌也可选择部分摘牌，挂牌及摘牌电量要求详见【5.2.3可申报电量约束】。</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5.3.7.5无约束出清</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5.3.7.5.1集中竞价交易：</w:t>
      </w:r>
      <w:r>
        <w:rPr>
          <w:rFonts w:ascii="仿宋_GB2312" w:eastAsia="仿宋_GB2312" w:hAnsi="仿宋_GB2312" w:cs="仿宋_GB2312" w:hint="eastAsia"/>
          <w:b w:val="0"/>
          <w:bCs w:val="0"/>
          <w:color w:val="auto"/>
          <w:w w:val="100"/>
          <w:sz w:val="32"/>
          <w:szCs w:val="32"/>
          <w:highlight w:val="none"/>
        </w:rPr>
        <w:t>按照【4.2.2.1集中竞价】的规定采用高低匹配出清</w:t>
      </w:r>
      <w:r>
        <w:rPr>
          <w:rFonts w:ascii="仿宋_GB2312" w:eastAsia="仿宋_GB2312" w:hAnsi="仿宋_GB2312" w:cs="仿宋_GB2312" w:hint="eastAsia"/>
          <w:b w:val="0"/>
          <w:bCs w:val="0"/>
          <w:color w:val="auto"/>
          <w:w w:val="100"/>
          <w:sz w:val="32"/>
          <w:szCs w:val="32"/>
          <w:highlight w:val="none"/>
          <w:lang w:eastAsia="zh-CN"/>
        </w:rPr>
        <w:t>，</w:t>
      </w:r>
      <w:r>
        <w:rPr>
          <w:rFonts w:ascii="仿宋_GB2312" w:eastAsia="仿宋_GB2312" w:hAnsi="仿宋_GB2312" w:cs="仿宋_GB2312" w:hint="eastAsia"/>
          <w:color w:val="auto"/>
          <w:w w:val="100"/>
          <w:sz w:val="32"/>
          <w:szCs w:val="32"/>
          <w:highlight w:val="none"/>
          <w:lang w:val="en-US" w:eastAsia="zh-CN" w:bidi="ar-SA"/>
        </w:rPr>
        <w:t>分时段申报方式下，按照经营主体提交的全月24小时分时交易电量和交易价格进行匹配出清；带曲线申报方式下，按照经营主体提交的申报总电量和统一价格进行匹配出清。各时段成交电量在无约束出清时自动</w:t>
      </w:r>
      <w:r>
        <w:rPr>
          <w:rFonts w:ascii="仿宋_GB2312" w:eastAsia="仿宋_GB2312" w:hAnsi="仿宋_GB2312" w:cs="仿宋_GB2312" w:hint="default"/>
          <w:color w:val="auto"/>
          <w:w w:val="100"/>
          <w:sz w:val="32"/>
          <w:szCs w:val="32"/>
          <w:highlight w:val="none"/>
          <w:lang w:val="en-US" w:eastAsia="zh-CN" w:bidi="ar-SA"/>
        </w:rPr>
        <w:t>根据</w:t>
      </w:r>
      <w:r>
        <w:rPr>
          <w:rFonts w:ascii="仿宋_GB2312" w:eastAsia="仿宋_GB2312" w:hAnsi="仿宋_GB2312" w:cs="仿宋_GB2312" w:hint="eastAsia"/>
          <w:color w:val="auto"/>
          <w:w w:val="100"/>
          <w:sz w:val="32"/>
          <w:szCs w:val="32"/>
          <w:highlight w:val="none"/>
          <w:lang w:val="en-US" w:eastAsia="zh-CN" w:bidi="ar-SA"/>
        </w:rPr>
        <w:t>标的</w:t>
      </w:r>
      <w:r>
        <w:rPr>
          <w:rFonts w:ascii="仿宋_GB2312" w:eastAsia="仿宋_GB2312" w:hAnsi="仿宋_GB2312" w:cs="仿宋_GB2312" w:hint="default"/>
          <w:color w:val="auto"/>
          <w:w w:val="100"/>
          <w:sz w:val="32"/>
          <w:szCs w:val="32"/>
          <w:highlight w:val="none"/>
          <w:lang w:val="en-US" w:eastAsia="zh-CN" w:bidi="ar-SA"/>
        </w:rPr>
        <w:t>天数</w:t>
      </w:r>
      <w:r>
        <w:rPr>
          <w:rFonts w:ascii="仿宋_GB2312" w:eastAsia="仿宋_GB2312" w:hAnsi="仿宋_GB2312" w:cs="仿宋_GB2312" w:hint="eastAsia"/>
          <w:color w:val="auto"/>
          <w:w w:val="100"/>
          <w:sz w:val="32"/>
          <w:szCs w:val="32"/>
          <w:highlight w:val="none"/>
          <w:lang w:val="en-US" w:eastAsia="zh-CN" w:bidi="ar-SA"/>
        </w:rPr>
        <w:t>或分解曲线</w:t>
      </w:r>
      <w:r>
        <w:rPr>
          <w:rFonts w:ascii="仿宋_GB2312" w:eastAsia="仿宋_GB2312" w:hAnsi="仿宋_GB2312" w:cs="仿宋_GB2312" w:hint="default"/>
          <w:color w:val="auto"/>
          <w:w w:val="100"/>
          <w:sz w:val="32"/>
          <w:szCs w:val="32"/>
          <w:highlight w:val="none"/>
          <w:lang w:val="en-US" w:eastAsia="zh-CN" w:bidi="ar-SA"/>
        </w:rPr>
        <w:t>，将</w:t>
      </w:r>
      <w:r>
        <w:rPr>
          <w:rFonts w:ascii="仿宋_GB2312" w:eastAsia="仿宋_GB2312" w:hAnsi="仿宋_GB2312" w:cs="仿宋_GB2312" w:hint="eastAsia"/>
          <w:color w:val="auto"/>
          <w:w w:val="100"/>
          <w:sz w:val="32"/>
          <w:szCs w:val="32"/>
          <w:highlight w:val="none"/>
          <w:lang w:val="en-US" w:eastAsia="zh-CN" w:bidi="ar-SA"/>
        </w:rPr>
        <w:t>各时段</w:t>
      </w:r>
      <w:r>
        <w:rPr>
          <w:rFonts w:ascii="仿宋_GB2312" w:eastAsia="仿宋_GB2312" w:hAnsi="仿宋_GB2312" w:cs="仿宋_GB2312" w:hint="default"/>
          <w:color w:val="auto"/>
          <w:w w:val="100"/>
          <w:sz w:val="32"/>
          <w:szCs w:val="32"/>
          <w:highlight w:val="none"/>
          <w:lang w:val="en-US" w:eastAsia="zh-CN" w:bidi="ar-SA"/>
        </w:rPr>
        <w:t>成交</w:t>
      </w:r>
      <w:r>
        <w:rPr>
          <w:rFonts w:ascii="仿宋_GB2312" w:eastAsia="仿宋_GB2312" w:hAnsi="仿宋_GB2312" w:cs="仿宋_GB2312" w:hint="eastAsia"/>
          <w:color w:val="auto"/>
          <w:w w:val="100"/>
          <w:sz w:val="32"/>
          <w:szCs w:val="32"/>
          <w:highlight w:val="none"/>
          <w:lang w:val="en-US" w:eastAsia="zh-CN" w:bidi="ar-SA"/>
        </w:rPr>
        <w:t>电</w:t>
      </w:r>
      <w:r>
        <w:rPr>
          <w:rFonts w:ascii="仿宋_GB2312" w:eastAsia="仿宋_GB2312" w:hAnsi="仿宋_GB2312" w:cs="仿宋_GB2312" w:hint="default"/>
          <w:color w:val="auto"/>
          <w:w w:val="100"/>
          <w:sz w:val="32"/>
          <w:szCs w:val="32"/>
          <w:highlight w:val="none"/>
          <w:lang w:val="en-US" w:eastAsia="zh-CN" w:bidi="ar-SA"/>
        </w:rPr>
        <w:t>量均分</w:t>
      </w:r>
      <w:r>
        <w:rPr>
          <w:rFonts w:ascii="仿宋_GB2312" w:eastAsia="仿宋_GB2312" w:hAnsi="仿宋_GB2312" w:cs="仿宋_GB2312" w:hint="eastAsia"/>
          <w:color w:val="auto"/>
          <w:w w:val="100"/>
          <w:sz w:val="32"/>
          <w:szCs w:val="32"/>
          <w:highlight w:val="none"/>
          <w:lang w:val="en-US" w:eastAsia="zh-CN" w:bidi="ar-SA"/>
        </w:rPr>
        <w:t>或按比例分配</w:t>
      </w:r>
      <w:r>
        <w:rPr>
          <w:rFonts w:ascii="仿宋_GB2312" w:eastAsia="仿宋_GB2312" w:hAnsi="仿宋_GB2312" w:cs="仿宋_GB2312" w:hint="default"/>
          <w:color w:val="auto"/>
          <w:w w:val="100"/>
          <w:sz w:val="32"/>
          <w:szCs w:val="32"/>
          <w:highlight w:val="none"/>
          <w:lang w:val="en-US" w:eastAsia="zh-CN" w:bidi="ar-SA"/>
        </w:rPr>
        <w:t>至对应日期，</w:t>
      </w:r>
      <w:r>
        <w:rPr>
          <w:rFonts w:ascii="仿宋_GB2312" w:eastAsia="仿宋_GB2312" w:hAnsi="仿宋_GB2312" w:cs="仿宋_GB2312" w:hint="eastAsia"/>
          <w:color w:val="auto"/>
          <w:w w:val="100"/>
          <w:sz w:val="32"/>
          <w:szCs w:val="32"/>
          <w:highlight w:val="none"/>
          <w:lang w:val="en-US" w:eastAsia="zh-CN" w:bidi="ar-SA"/>
        </w:rPr>
        <w:t>成交价格</w:t>
      </w:r>
      <w:r>
        <w:rPr>
          <w:rFonts w:ascii="仿宋_GB2312" w:eastAsia="仿宋_GB2312" w:hAnsi="仿宋_GB2312" w:cs="仿宋_GB2312" w:hint="default"/>
          <w:color w:val="auto"/>
          <w:w w:val="100"/>
          <w:sz w:val="32"/>
          <w:szCs w:val="32"/>
          <w:highlight w:val="none"/>
          <w:lang w:val="en-US" w:eastAsia="zh-CN" w:bidi="ar-SA"/>
        </w:rPr>
        <w:t>为</w:t>
      </w:r>
      <w:r>
        <w:rPr>
          <w:rFonts w:ascii="仿宋_GB2312" w:eastAsia="仿宋_GB2312" w:hAnsi="仿宋_GB2312" w:cs="仿宋_GB2312" w:hint="eastAsia"/>
          <w:color w:val="auto"/>
          <w:w w:val="100"/>
          <w:sz w:val="32"/>
          <w:szCs w:val="32"/>
          <w:highlight w:val="none"/>
          <w:lang w:val="en-US" w:eastAsia="zh-CN" w:bidi="ar-SA"/>
        </w:rPr>
        <w:t>该时段的</w:t>
      </w:r>
      <w:r>
        <w:rPr>
          <w:rFonts w:ascii="仿宋_GB2312" w:eastAsia="仿宋_GB2312" w:hAnsi="仿宋_GB2312" w:cs="仿宋_GB2312" w:hint="default"/>
          <w:color w:val="auto"/>
          <w:w w:val="100"/>
          <w:sz w:val="32"/>
          <w:szCs w:val="32"/>
          <w:highlight w:val="none"/>
          <w:lang w:val="en-US" w:eastAsia="zh-CN" w:bidi="ar-SA"/>
        </w:rPr>
        <w:t>出清电价</w:t>
      </w:r>
      <w:r>
        <w:rPr>
          <w:rFonts w:ascii="仿宋_GB2312" w:eastAsia="仿宋_GB2312" w:hAnsi="仿宋_GB2312" w:cs="仿宋_GB2312" w:hint="eastAsia"/>
          <w:color w:val="auto"/>
          <w:w w:val="100"/>
          <w:sz w:val="32"/>
          <w:szCs w:val="32"/>
          <w:highlight w:val="none"/>
          <w:lang w:val="en-US" w:eastAsia="zh-CN" w:bidi="ar-SA"/>
        </w:rPr>
        <w:t>。</w:t>
      </w:r>
      <w:r>
        <w:rPr>
          <w:rFonts w:ascii="仿宋_GB2312" w:eastAsia="仿宋_GB2312" w:hAnsi="仿宋_GB2312" w:cs="仿宋_GB2312" w:hint="eastAsia"/>
          <w:b w:val="0"/>
          <w:bCs w:val="0"/>
          <w:color w:val="auto"/>
          <w:w w:val="100"/>
          <w:kern w:val="0"/>
          <w:sz w:val="32"/>
          <w:szCs w:val="32"/>
          <w:highlight w:val="none"/>
          <w:lang w:val="en-US" w:eastAsia="zh-CN" w:bidi="ar"/>
        </w:rPr>
        <w:t>结算参考点价格选用原则详见【3.3.6结算参考点】。</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ascii="仿宋_GB2312" w:eastAsia="仿宋_GB2312" w:hAnsi="仿宋_GB2312" w:cs="仿宋_GB2312" w:hint="eastAsia"/>
          <w:b w:val="0"/>
          <w:bCs w:val="0"/>
          <w:color w:val="auto"/>
          <w:w w:val="100"/>
          <w:kern w:val="0"/>
          <w:sz w:val="32"/>
          <w:szCs w:val="32"/>
          <w:highlight w:val="none"/>
          <w:lang w:val="en-US" w:eastAsia="zh-CN" w:bidi="ar"/>
        </w:rPr>
      </w:pPr>
      <w:r>
        <w:rPr>
          <w:rFonts w:ascii="仿宋_GB2312" w:eastAsia="仿宋_GB2312" w:hAnsi="仿宋_GB2312" w:cs="仿宋_GB2312" w:hint="eastAsia"/>
          <w:b w:val="0"/>
          <w:bCs w:val="0"/>
          <w:color w:val="auto"/>
          <w:w w:val="100"/>
          <w:kern w:val="0"/>
          <w:sz w:val="32"/>
          <w:szCs w:val="32"/>
          <w:highlight w:val="none"/>
          <w:lang w:val="en-US" w:eastAsia="zh-CN" w:bidi="ar"/>
        </w:rPr>
        <w:t>5.3.7.5.2滚动撮合交易：交易平台按照时间优先、价格优先的原则进行滚动撮合成交，撮合规则按【</w:t>
      </w:r>
      <w:r>
        <w:rPr>
          <w:rFonts w:ascii="仿宋_GB2312" w:eastAsia="仿宋_GB2312" w:hAnsi="仿宋_GB2312" w:cs="仿宋_GB2312" w:hint="eastAsia"/>
          <w:color w:val="auto"/>
          <w:spacing w:val="0"/>
          <w:w w:val="100"/>
          <w:sz w:val="32"/>
          <w:szCs w:val="32"/>
          <w:highlight w:val="none"/>
          <w:lang w:eastAsia="zh-CN" w:bidi="ar"/>
        </w:rPr>
        <w:t>4.2.</w:t>
      </w:r>
      <w:r>
        <w:rPr>
          <w:rFonts w:ascii="仿宋_GB2312" w:eastAsia="仿宋_GB2312" w:hAnsi="仿宋_GB2312" w:cs="仿宋_GB2312" w:hint="eastAsia"/>
          <w:color w:val="auto"/>
          <w:w w:val="100"/>
          <w:sz w:val="32"/>
          <w:szCs w:val="32"/>
          <w:highlight w:val="none"/>
          <w:lang w:eastAsia="zh-CN" w:bidi="ar"/>
        </w:rPr>
        <w:t>2.2滚动撮合</w:t>
      </w:r>
      <w:r>
        <w:rPr>
          <w:rFonts w:ascii="仿宋_GB2312" w:eastAsia="仿宋_GB2312" w:hAnsi="仿宋_GB2312" w:cs="仿宋_GB2312" w:hint="eastAsia"/>
          <w:b w:val="0"/>
          <w:bCs w:val="0"/>
          <w:color w:val="auto"/>
          <w:w w:val="100"/>
          <w:kern w:val="0"/>
          <w:sz w:val="32"/>
          <w:szCs w:val="32"/>
          <w:highlight w:val="none"/>
          <w:lang w:val="en-US" w:eastAsia="zh-CN" w:bidi="ar"/>
        </w:rPr>
        <w:t>】执行，</w:t>
      </w:r>
      <w:r>
        <w:rPr>
          <w:rFonts w:ascii="仿宋_GB2312" w:eastAsia="仿宋_GB2312" w:hAnsi="仿宋_GB2312" w:cs="仿宋_GB2312" w:hint="eastAsia"/>
          <w:color w:val="auto"/>
          <w:w w:val="100"/>
          <w:sz w:val="32"/>
          <w:szCs w:val="32"/>
          <w:highlight w:val="none"/>
          <w:lang w:val="en-US" w:eastAsia="zh-CN" w:bidi="ar-SA"/>
        </w:rPr>
        <w:t>分时段申报方式下，按照经营主体提交的全月24小时分时交易电量和交易价格进行匹配出清，各时段所</w:t>
      </w:r>
      <w:r>
        <w:rPr>
          <w:rFonts w:ascii="仿宋_GB2312" w:eastAsia="仿宋_GB2312" w:hAnsi="仿宋_GB2312" w:cs="仿宋_GB2312" w:hint="default"/>
          <w:color w:val="auto"/>
          <w:w w:val="100"/>
          <w:sz w:val="32"/>
          <w:szCs w:val="32"/>
          <w:highlight w:val="none"/>
          <w:lang w:val="en-US" w:eastAsia="zh-CN" w:bidi="ar-SA"/>
        </w:rPr>
        <w:t>对应日期</w:t>
      </w:r>
      <w:r>
        <w:rPr>
          <w:rFonts w:ascii="仿宋_GB2312" w:eastAsia="仿宋_GB2312" w:hAnsi="仿宋_GB2312" w:cs="仿宋_GB2312" w:hint="eastAsia"/>
          <w:color w:val="auto"/>
          <w:w w:val="100"/>
          <w:sz w:val="32"/>
          <w:szCs w:val="32"/>
          <w:highlight w:val="none"/>
          <w:lang w:val="en-US" w:eastAsia="zh-CN" w:bidi="ar-SA"/>
        </w:rPr>
        <w:t>的成交电量都相同；带曲线申报方式下，按照经营主体提交的申报总电量和统一价格进行匹配出清，交易平台自动</w:t>
      </w:r>
      <w:r>
        <w:rPr>
          <w:rFonts w:ascii="仿宋_GB2312" w:eastAsia="仿宋_GB2312" w:hAnsi="仿宋_GB2312" w:cs="仿宋_GB2312" w:hint="default"/>
          <w:color w:val="auto"/>
          <w:w w:val="100"/>
          <w:sz w:val="32"/>
          <w:szCs w:val="32"/>
          <w:highlight w:val="none"/>
          <w:lang w:val="en-US" w:eastAsia="zh-CN" w:bidi="ar-SA"/>
        </w:rPr>
        <w:t>根据</w:t>
      </w:r>
      <w:r>
        <w:rPr>
          <w:rFonts w:ascii="仿宋_GB2312" w:eastAsia="仿宋_GB2312" w:hAnsi="仿宋_GB2312" w:cs="仿宋_GB2312" w:hint="eastAsia"/>
          <w:color w:val="auto"/>
          <w:w w:val="100"/>
          <w:sz w:val="32"/>
          <w:szCs w:val="32"/>
          <w:highlight w:val="none"/>
          <w:lang w:val="en-US" w:eastAsia="zh-CN" w:bidi="ar-SA"/>
        </w:rPr>
        <w:t>分解曲线</w:t>
      </w:r>
      <w:r>
        <w:rPr>
          <w:rFonts w:ascii="仿宋_GB2312" w:eastAsia="仿宋_GB2312" w:hAnsi="仿宋_GB2312" w:cs="仿宋_GB2312" w:hint="default"/>
          <w:color w:val="auto"/>
          <w:w w:val="100"/>
          <w:sz w:val="32"/>
          <w:szCs w:val="32"/>
          <w:highlight w:val="none"/>
          <w:lang w:val="en-US" w:eastAsia="zh-CN" w:bidi="ar-SA"/>
        </w:rPr>
        <w:t>，将</w:t>
      </w:r>
      <w:r>
        <w:rPr>
          <w:rFonts w:ascii="仿宋_GB2312" w:eastAsia="仿宋_GB2312" w:hAnsi="仿宋_GB2312" w:cs="仿宋_GB2312" w:hint="eastAsia"/>
          <w:color w:val="auto"/>
          <w:w w:val="100"/>
          <w:sz w:val="32"/>
          <w:szCs w:val="32"/>
          <w:highlight w:val="none"/>
          <w:lang w:val="en-US" w:eastAsia="zh-CN" w:bidi="ar-SA"/>
        </w:rPr>
        <w:t>各时段</w:t>
      </w:r>
      <w:r>
        <w:rPr>
          <w:rFonts w:ascii="仿宋_GB2312" w:eastAsia="仿宋_GB2312" w:hAnsi="仿宋_GB2312" w:cs="仿宋_GB2312" w:hint="default"/>
          <w:color w:val="auto"/>
          <w:w w:val="100"/>
          <w:sz w:val="32"/>
          <w:szCs w:val="32"/>
          <w:highlight w:val="none"/>
          <w:lang w:val="en-US" w:eastAsia="zh-CN" w:bidi="ar-SA"/>
        </w:rPr>
        <w:t>成交</w:t>
      </w:r>
      <w:r>
        <w:rPr>
          <w:rFonts w:ascii="仿宋_GB2312" w:eastAsia="仿宋_GB2312" w:hAnsi="仿宋_GB2312" w:cs="仿宋_GB2312" w:hint="eastAsia"/>
          <w:color w:val="auto"/>
          <w:w w:val="100"/>
          <w:sz w:val="32"/>
          <w:szCs w:val="32"/>
          <w:highlight w:val="none"/>
          <w:lang w:val="en-US" w:eastAsia="zh-CN" w:bidi="ar-SA"/>
        </w:rPr>
        <w:t>电</w:t>
      </w:r>
      <w:r>
        <w:rPr>
          <w:rFonts w:ascii="仿宋_GB2312" w:eastAsia="仿宋_GB2312" w:hAnsi="仿宋_GB2312" w:cs="仿宋_GB2312" w:hint="default"/>
          <w:color w:val="auto"/>
          <w:w w:val="100"/>
          <w:sz w:val="32"/>
          <w:szCs w:val="32"/>
          <w:highlight w:val="none"/>
          <w:lang w:val="en-US" w:eastAsia="zh-CN" w:bidi="ar-SA"/>
        </w:rPr>
        <w:t>量</w:t>
      </w:r>
      <w:r>
        <w:rPr>
          <w:rFonts w:ascii="仿宋_GB2312" w:eastAsia="仿宋_GB2312" w:hAnsi="仿宋_GB2312" w:cs="仿宋_GB2312" w:hint="eastAsia"/>
          <w:color w:val="auto"/>
          <w:w w:val="100"/>
          <w:sz w:val="32"/>
          <w:szCs w:val="32"/>
          <w:highlight w:val="none"/>
          <w:lang w:val="en-US" w:eastAsia="zh-CN" w:bidi="ar-SA"/>
        </w:rPr>
        <w:t>按比例分配</w:t>
      </w:r>
      <w:r>
        <w:rPr>
          <w:rFonts w:ascii="仿宋_GB2312" w:eastAsia="仿宋_GB2312" w:hAnsi="仿宋_GB2312" w:cs="仿宋_GB2312" w:hint="default"/>
          <w:color w:val="auto"/>
          <w:w w:val="100"/>
          <w:sz w:val="32"/>
          <w:szCs w:val="32"/>
          <w:highlight w:val="none"/>
          <w:lang w:val="en-US" w:eastAsia="zh-CN" w:bidi="ar-SA"/>
        </w:rPr>
        <w:t>至对应日期</w:t>
      </w:r>
      <w:r>
        <w:rPr>
          <w:rFonts w:ascii="仿宋_GB2312" w:eastAsia="仿宋_GB2312" w:hAnsi="仿宋_GB2312" w:cs="仿宋_GB2312" w:hint="eastAsia"/>
          <w:color w:val="auto"/>
          <w:w w:val="100"/>
          <w:sz w:val="32"/>
          <w:szCs w:val="32"/>
          <w:highlight w:val="none"/>
          <w:lang w:val="en-US" w:eastAsia="zh-CN" w:bidi="ar-SA"/>
        </w:rPr>
        <w:t>；成交价格</w:t>
      </w:r>
      <w:r>
        <w:rPr>
          <w:rFonts w:ascii="仿宋_GB2312" w:eastAsia="仿宋_GB2312" w:hAnsi="仿宋_GB2312" w:cs="仿宋_GB2312" w:hint="default"/>
          <w:color w:val="auto"/>
          <w:w w:val="100"/>
          <w:sz w:val="32"/>
          <w:szCs w:val="32"/>
          <w:highlight w:val="none"/>
          <w:lang w:val="en-US" w:eastAsia="zh-CN" w:bidi="ar-SA"/>
        </w:rPr>
        <w:t>为</w:t>
      </w:r>
      <w:r>
        <w:rPr>
          <w:rFonts w:ascii="仿宋_GB2312" w:eastAsia="仿宋_GB2312" w:hAnsi="仿宋_GB2312" w:cs="仿宋_GB2312" w:hint="eastAsia"/>
          <w:color w:val="auto"/>
          <w:w w:val="100"/>
          <w:sz w:val="32"/>
          <w:szCs w:val="32"/>
          <w:highlight w:val="none"/>
          <w:lang w:val="en-US" w:eastAsia="zh-CN" w:bidi="ar-SA"/>
        </w:rPr>
        <w:t>该时段的</w:t>
      </w:r>
      <w:r>
        <w:rPr>
          <w:rFonts w:ascii="仿宋_GB2312" w:eastAsia="仿宋_GB2312" w:hAnsi="仿宋_GB2312" w:cs="仿宋_GB2312" w:hint="default"/>
          <w:color w:val="auto"/>
          <w:w w:val="100"/>
          <w:sz w:val="32"/>
          <w:szCs w:val="32"/>
          <w:highlight w:val="none"/>
          <w:lang w:val="en-US" w:eastAsia="zh-CN" w:bidi="ar-SA"/>
        </w:rPr>
        <w:t>出清电价</w:t>
      </w:r>
      <w:r>
        <w:rPr>
          <w:rFonts w:ascii="仿宋_GB2312" w:eastAsia="仿宋_GB2312" w:hAnsi="仿宋_GB2312" w:cs="仿宋_GB2312" w:hint="eastAsia"/>
          <w:color w:val="auto"/>
          <w:w w:val="100"/>
          <w:sz w:val="32"/>
          <w:szCs w:val="32"/>
          <w:highlight w:val="none"/>
          <w:lang w:val="en-US" w:eastAsia="zh-CN" w:bidi="ar-SA"/>
        </w:rPr>
        <w:t>。</w:t>
      </w:r>
      <w:r>
        <w:rPr>
          <w:rFonts w:ascii="仿宋_GB2312" w:eastAsia="仿宋_GB2312" w:hAnsi="仿宋_GB2312" w:cs="仿宋_GB2312" w:hint="eastAsia"/>
          <w:b w:val="0"/>
          <w:bCs w:val="0"/>
          <w:color w:val="auto"/>
          <w:w w:val="100"/>
          <w:kern w:val="0"/>
          <w:sz w:val="32"/>
          <w:szCs w:val="32"/>
          <w:highlight w:val="none"/>
          <w:lang w:val="en-US" w:eastAsia="zh-CN" w:bidi="ar"/>
        </w:rPr>
        <w:t>结算参考点价格选用原则详见【3.3.6结算参考点】。</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kern w:val="0"/>
          <w:sz w:val="32"/>
          <w:szCs w:val="32"/>
          <w:highlight w:val="none"/>
          <w:lang w:val="en-US" w:eastAsia="zh-CN" w:bidi="ar"/>
        </w:rPr>
      </w:pPr>
      <w:r>
        <w:rPr>
          <w:rFonts w:ascii="仿宋_GB2312" w:eastAsia="仿宋_GB2312" w:hAnsi="仿宋_GB2312" w:cs="仿宋_GB2312" w:hint="eastAsia"/>
          <w:b w:val="0"/>
          <w:bCs w:val="0"/>
          <w:color w:val="auto"/>
          <w:w w:val="100"/>
          <w:kern w:val="0"/>
          <w:sz w:val="32"/>
          <w:szCs w:val="32"/>
          <w:highlight w:val="none"/>
          <w:lang w:val="en-US" w:eastAsia="zh-CN" w:bidi="ar"/>
        </w:rPr>
        <w:t>5.3.7.5.3挂牌交易：采用即时出清或统一出清方式。</w:t>
      </w:r>
      <w:r>
        <w:rPr>
          <w:rFonts w:ascii="仿宋_GB2312" w:eastAsia="仿宋_GB2312" w:hAnsi="仿宋_GB2312" w:cs="仿宋_GB2312" w:hint="eastAsia"/>
          <w:color w:val="auto"/>
          <w:w w:val="100"/>
          <w:sz w:val="32"/>
          <w:szCs w:val="32"/>
          <w:highlight w:val="none"/>
          <w:lang w:val="en-US" w:eastAsia="zh-CN" w:bidi="ar-SA"/>
        </w:rPr>
        <w:t>分时段申报方式下，按照经营主体提交的全月24小时分时交易电量和交易价格进行匹配出清；带曲线申报方式下，按照经营主体提交的申报总电量和统一价格进行匹配出清。各时段成交电量在无约束出清时自动</w:t>
      </w:r>
      <w:r>
        <w:rPr>
          <w:rFonts w:ascii="仿宋_GB2312" w:eastAsia="仿宋_GB2312" w:hAnsi="仿宋_GB2312" w:cs="仿宋_GB2312" w:hint="default"/>
          <w:color w:val="auto"/>
          <w:w w:val="100"/>
          <w:sz w:val="32"/>
          <w:szCs w:val="32"/>
          <w:highlight w:val="none"/>
          <w:lang w:val="en-US" w:eastAsia="zh-CN" w:bidi="ar-SA"/>
        </w:rPr>
        <w:t>根据</w:t>
      </w:r>
      <w:r>
        <w:rPr>
          <w:rFonts w:ascii="仿宋_GB2312" w:eastAsia="仿宋_GB2312" w:hAnsi="仿宋_GB2312" w:cs="仿宋_GB2312" w:hint="eastAsia"/>
          <w:color w:val="auto"/>
          <w:w w:val="100"/>
          <w:sz w:val="32"/>
          <w:szCs w:val="32"/>
          <w:highlight w:val="none"/>
          <w:lang w:val="en-US" w:eastAsia="zh-CN" w:bidi="ar-SA"/>
        </w:rPr>
        <w:t>标的</w:t>
      </w:r>
      <w:r>
        <w:rPr>
          <w:rFonts w:ascii="仿宋_GB2312" w:eastAsia="仿宋_GB2312" w:hAnsi="仿宋_GB2312" w:cs="仿宋_GB2312" w:hint="default"/>
          <w:color w:val="auto"/>
          <w:w w:val="100"/>
          <w:sz w:val="32"/>
          <w:szCs w:val="32"/>
          <w:highlight w:val="none"/>
          <w:lang w:val="en-US" w:eastAsia="zh-CN" w:bidi="ar-SA"/>
        </w:rPr>
        <w:t>天数</w:t>
      </w:r>
      <w:r>
        <w:rPr>
          <w:rFonts w:ascii="仿宋_GB2312" w:eastAsia="仿宋_GB2312" w:hAnsi="仿宋_GB2312" w:cs="仿宋_GB2312" w:hint="eastAsia"/>
          <w:color w:val="auto"/>
          <w:w w:val="100"/>
          <w:sz w:val="32"/>
          <w:szCs w:val="32"/>
          <w:highlight w:val="none"/>
          <w:lang w:val="en-US" w:eastAsia="zh-CN" w:bidi="ar-SA"/>
        </w:rPr>
        <w:t>或分解曲线</w:t>
      </w:r>
      <w:r>
        <w:rPr>
          <w:rFonts w:ascii="仿宋_GB2312" w:eastAsia="仿宋_GB2312" w:hAnsi="仿宋_GB2312" w:cs="仿宋_GB2312" w:hint="default"/>
          <w:color w:val="auto"/>
          <w:w w:val="100"/>
          <w:sz w:val="32"/>
          <w:szCs w:val="32"/>
          <w:highlight w:val="none"/>
          <w:lang w:val="en-US" w:eastAsia="zh-CN" w:bidi="ar-SA"/>
        </w:rPr>
        <w:t>，将</w:t>
      </w:r>
      <w:r>
        <w:rPr>
          <w:rFonts w:ascii="仿宋_GB2312" w:eastAsia="仿宋_GB2312" w:hAnsi="仿宋_GB2312" w:cs="仿宋_GB2312" w:hint="eastAsia"/>
          <w:color w:val="auto"/>
          <w:w w:val="100"/>
          <w:sz w:val="32"/>
          <w:szCs w:val="32"/>
          <w:highlight w:val="none"/>
          <w:lang w:val="en-US" w:eastAsia="zh-CN" w:bidi="ar-SA"/>
        </w:rPr>
        <w:t>各时段</w:t>
      </w:r>
      <w:r>
        <w:rPr>
          <w:rFonts w:ascii="仿宋_GB2312" w:eastAsia="仿宋_GB2312" w:hAnsi="仿宋_GB2312" w:cs="仿宋_GB2312" w:hint="default"/>
          <w:color w:val="auto"/>
          <w:w w:val="100"/>
          <w:sz w:val="32"/>
          <w:szCs w:val="32"/>
          <w:highlight w:val="none"/>
          <w:lang w:val="en-US" w:eastAsia="zh-CN" w:bidi="ar-SA"/>
        </w:rPr>
        <w:t>成交</w:t>
      </w:r>
      <w:r>
        <w:rPr>
          <w:rFonts w:ascii="仿宋_GB2312" w:eastAsia="仿宋_GB2312" w:hAnsi="仿宋_GB2312" w:cs="仿宋_GB2312" w:hint="eastAsia"/>
          <w:color w:val="auto"/>
          <w:w w:val="100"/>
          <w:sz w:val="32"/>
          <w:szCs w:val="32"/>
          <w:highlight w:val="none"/>
          <w:lang w:val="en-US" w:eastAsia="zh-CN" w:bidi="ar-SA"/>
        </w:rPr>
        <w:t>电</w:t>
      </w:r>
      <w:r>
        <w:rPr>
          <w:rFonts w:ascii="仿宋_GB2312" w:eastAsia="仿宋_GB2312" w:hAnsi="仿宋_GB2312" w:cs="仿宋_GB2312" w:hint="default"/>
          <w:color w:val="auto"/>
          <w:w w:val="100"/>
          <w:sz w:val="32"/>
          <w:szCs w:val="32"/>
          <w:highlight w:val="none"/>
          <w:lang w:val="en-US" w:eastAsia="zh-CN" w:bidi="ar-SA"/>
        </w:rPr>
        <w:t>量均分</w:t>
      </w:r>
      <w:r>
        <w:rPr>
          <w:rFonts w:ascii="仿宋_GB2312" w:eastAsia="仿宋_GB2312" w:hAnsi="仿宋_GB2312" w:cs="仿宋_GB2312" w:hint="eastAsia"/>
          <w:color w:val="auto"/>
          <w:w w:val="100"/>
          <w:sz w:val="32"/>
          <w:szCs w:val="32"/>
          <w:highlight w:val="none"/>
          <w:lang w:val="en-US" w:eastAsia="zh-CN" w:bidi="ar-SA"/>
        </w:rPr>
        <w:t>或按比例分配</w:t>
      </w:r>
      <w:r>
        <w:rPr>
          <w:rFonts w:ascii="仿宋_GB2312" w:eastAsia="仿宋_GB2312" w:hAnsi="仿宋_GB2312" w:cs="仿宋_GB2312" w:hint="default"/>
          <w:color w:val="auto"/>
          <w:w w:val="100"/>
          <w:sz w:val="32"/>
          <w:szCs w:val="32"/>
          <w:highlight w:val="none"/>
          <w:lang w:val="en-US" w:eastAsia="zh-CN" w:bidi="ar-SA"/>
        </w:rPr>
        <w:t>至对应日期</w:t>
      </w:r>
      <w:r>
        <w:rPr>
          <w:rFonts w:ascii="仿宋_GB2312" w:eastAsia="仿宋_GB2312" w:hAnsi="仿宋_GB2312" w:cs="仿宋_GB2312" w:hint="eastAsia"/>
          <w:color w:val="auto"/>
          <w:w w:val="100"/>
          <w:sz w:val="32"/>
          <w:szCs w:val="32"/>
          <w:highlight w:val="none"/>
          <w:lang w:val="en-US" w:eastAsia="zh-CN" w:bidi="ar-SA"/>
        </w:rPr>
        <w:t>，挂牌方发布要约的价格即为该笔成交对的成交价格。</w:t>
      </w:r>
      <w:r>
        <w:rPr>
          <w:rFonts w:ascii="仿宋_GB2312" w:eastAsia="仿宋_GB2312" w:hAnsi="仿宋_GB2312" w:cs="仿宋_GB2312" w:hint="eastAsia"/>
          <w:b w:val="0"/>
          <w:bCs w:val="0"/>
          <w:color w:val="auto"/>
          <w:w w:val="100"/>
          <w:kern w:val="0"/>
          <w:sz w:val="32"/>
          <w:szCs w:val="32"/>
          <w:highlight w:val="none"/>
          <w:lang w:val="en-US" w:eastAsia="zh-CN" w:bidi="ar"/>
        </w:rPr>
        <w:t>结算参考点价格选用原则详见【3.3.6结算参考点】。</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kern w:val="0"/>
          <w:sz w:val="32"/>
          <w:szCs w:val="32"/>
          <w:highlight w:val="none"/>
          <w:lang w:val="en-US" w:eastAsia="zh-CN" w:bidi="ar"/>
        </w:rPr>
      </w:pPr>
      <w:r>
        <w:rPr>
          <w:rFonts w:ascii="仿宋_GB2312" w:eastAsia="仿宋_GB2312" w:hAnsi="仿宋_GB2312" w:cs="仿宋_GB2312" w:hint="eastAsia"/>
          <w:b w:val="0"/>
          <w:bCs w:val="0"/>
          <w:color w:val="auto"/>
          <w:w w:val="100"/>
          <w:kern w:val="0"/>
          <w:sz w:val="32"/>
          <w:szCs w:val="32"/>
          <w:highlight w:val="none"/>
          <w:lang w:val="en-US" w:eastAsia="zh-CN" w:bidi="ar"/>
        </w:rPr>
        <w:t>（1）同一笔挂牌电量若被多个交易单元摘牌，则按照摘牌“时间优先”原则依序形成合同；</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kern w:val="0"/>
          <w:sz w:val="32"/>
          <w:szCs w:val="32"/>
          <w:highlight w:val="none"/>
          <w:lang w:val="en-US" w:eastAsia="zh-CN" w:bidi="ar"/>
        </w:rPr>
      </w:pPr>
      <w:r>
        <w:rPr>
          <w:rFonts w:ascii="仿宋_GB2312" w:eastAsia="仿宋_GB2312" w:hAnsi="仿宋_GB2312" w:cs="仿宋_GB2312" w:hint="eastAsia"/>
          <w:b w:val="0"/>
          <w:bCs w:val="0"/>
          <w:color w:val="auto"/>
          <w:w w:val="100"/>
          <w:kern w:val="0"/>
          <w:sz w:val="32"/>
          <w:szCs w:val="32"/>
          <w:highlight w:val="none"/>
          <w:lang w:val="en-US" w:eastAsia="zh-CN" w:bidi="ar"/>
        </w:rPr>
        <w:t>（2）若时间优先级相同，则按申报比例分配交易电量；</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（3）若最后一笔成交对的摘牌量大于剩余挂牌量时，该笔成交量为剩余挂牌量。</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2"/>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5.3.8月度电网代理购电挂牌交易</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5.3.8.1参与的市场成员</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已完成交易平台注册且符合准入条件的发电企业、电网企业（含增量配电网企业）。</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5.3.8.2交易周期及标的</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月度电网代理购电挂牌交易的标的物为电网企业代理购电次月的电量。</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5.3.8.3交易公告发布</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交易中心发布月度电网代理购电交易公告，内容包括但不限于：</w:t>
      </w:r>
      <w:r>
        <w:rPr>
          <w:rFonts w:ascii="仿宋_GB2312" w:eastAsia="仿宋_GB2312" w:hAnsi="仿宋_GB2312" w:cs="仿宋_GB2312" w:hint="eastAsia"/>
          <w:color w:val="auto"/>
          <w:sz w:val="32"/>
          <w:szCs w:val="32"/>
          <w:highlight w:val="none"/>
          <w:lang w:eastAsia="zh-CN" w:bidi="ar"/>
        </w:rPr>
        <w:t>交易品种、交易主体、交易方式、交易申报时间、交易执行时间、交易参数、出清方式、交易约束信息、交易操作说明、其他准备信息等</w:t>
      </w:r>
      <w:r>
        <w:rPr>
          <w:rFonts w:ascii="仿宋_GB2312" w:eastAsia="仿宋_GB2312" w:hAnsi="仿宋_GB2312" w:cs="仿宋_GB2312" w:hint="eastAsia"/>
          <w:b w:val="0"/>
          <w:bCs w:val="0"/>
          <w:color w:val="auto"/>
          <w:w w:val="100"/>
          <w:kern w:val="0"/>
          <w:sz w:val="32"/>
          <w:szCs w:val="32"/>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ascii="仿宋_GB2312" w:eastAsia="仿宋_GB2312" w:hAnsi="仿宋_GB2312" w:cs="仿宋_GB2312" w:hint="eastAsia"/>
          <w:color w:val="auto"/>
          <w:sz w:val="32"/>
          <w:szCs w:val="32"/>
          <w:highlight w:val="none"/>
          <w:lang w:eastAsia="zh-CN" w:bidi="ar"/>
        </w:rPr>
      </w:pPr>
      <w:r>
        <w:rPr>
          <w:rFonts w:ascii="仿宋_GB2312" w:eastAsia="仿宋_GB2312" w:hAnsi="仿宋_GB2312" w:cs="仿宋_GB2312" w:hint="eastAsia"/>
          <w:b w:val="0"/>
          <w:bCs w:val="0"/>
          <w:color w:val="auto"/>
          <w:w w:val="100"/>
          <w:kern w:val="0"/>
          <w:sz w:val="32"/>
          <w:szCs w:val="32"/>
          <w:highlight w:val="none"/>
          <w:lang w:val="en-US" w:eastAsia="zh-CN" w:bidi="ar"/>
        </w:rPr>
        <w:t>5.3.8.4挂牌</w:t>
      </w:r>
      <w:r>
        <w:rPr>
          <w:rFonts w:ascii="仿宋_GB2312" w:eastAsia="仿宋_GB2312" w:hAnsi="仿宋_GB2312" w:cs="仿宋_GB2312" w:hint="eastAsia"/>
          <w:color w:val="auto"/>
          <w:sz w:val="32"/>
          <w:szCs w:val="32"/>
          <w:highlight w:val="none"/>
          <w:lang w:eastAsia="zh-CN" w:bidi="ar"/>
        </w:rPr>
        <w:t>价格</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ascii="仿宋_GB2312" w:eastAsia="仿宋_GB2312" w:hAnsi="仿宋_GB2312" w:cs="仿宋_GB2312" w:hint="eastAsia"/>
          <w:b w:val="0"/>
          <w:bCs w:val="0"/>
          <w:color w:val="auto"/>
          <w:w w:val="100"/>
          <w:kern w:val="0"/>
          <w:sz w:val="32"/>
          <w:szCs w:val="32"/>
          <w:highlight w:val="none"/>
          <w:lang w:val="en-US" w:eastAsia="zh-CN" w:bidi="ar"/>
        </w:rPr>
      </w:pPr>
      <w:r>
        <w:rPr>
          <w:rFonts w:ascii="仿宋_GB2312" w:eastAsia="仿宋_GB2312" w:hAnsi="仿宋_GB2312" w:cs="仿宋_GB2312" w:hint="eastAsia"/>
          <w:color w:val="auto"/>
          <w:w w:val="100"/>
          <w:sz w:val="32"/>
          <w:szCs w:val="32"/>
          <w:highlight w:val="none"/>
          <w:lang w:val="en-US" w:eastAsia="zh-CN" w:bidi="ar-SA"/>
        </w:rPr>
        <w:t>月度电网代理购电挂牌交易采用统一价格</w:t>
      </w:r>
      <w:r>
        <w:rPr>
          <w:rFonts w:ascii="仿宋_GB2312" w:eastAsia="仿宋_GB2312" w:hAnsi="仿宋_GB2312" w:cs="仿宋_GB2312" w:hint="eastAsia"/>
          <w:color w:val="auto"/>
          <w:sz w:val="32"/>
          <w:szCs w:val="32"/>
          <w:highlight w:val="none"/>
          <w:lang w:val="en-US" w:eastAsia="zh-CN" w:bidi="ar"/>
        </w:rPr>
        <w:t>，</w:t>
      </w:r>
      <w:r>
        <w:rPr>
          <w:rFonts w:ascii="仿宋_GB2312" w:eastAsia="仿宋_GB2312" w:hAnsi="仿宋_GB2312" w:cs="仿宋_GB2312" w:hint="eastAsia"/>
          <w:color w:val="auto"/>
          <w:sz w:val="32"/>
          <w:szCs w:val="32"/>
          <w:highlight w:val="none"/>
          <w:lang w:eastAsia="zh-CN" w:bidi="ar"/>
        </w:rPr>
        <w:t>价格按照</w:t>
      </w:r>
      <w:r>
        <w:rPr>
          <w:rFonts w:ascii="仿宋_GB2312" w:eastAsia="仿宋_GB2312" w:hAnsi="仿宋_GB2312" w:cs="仿宋_GB2312" w:hint="eastAsia"/>
          <w:color w:val="auto"/>
          <w:kern w:val="0"/>
          <w:sz w:val="32"/>
          <w:szCs w:val="32"/>
          <w:highlight w:val="none"/>
          <w:lang w:val="en-US" w:eastAsia="zh-CN" w:bidi="ar"/>
        </w:rPr>
        <w:t>当月月度集中竞价交易加权平均价格执行；若无集中竞价交易加权平均价，按照当月直接交易中长期合约加权平均价执行。</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5.3.8.5交易申报</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kern w:val="0"/>
          <w:sz w:val="32"/>
          <w:szCs w:val="32"/>
          <w:highlight w:val="none"/>
          <w:lang w:val="en-US" w:eastAsia="zh-CN" w:bidi="ar"/>
        </w:rPr>
      </w:pPr>
      <w:r>
        <w:rPr>
          <w:rFonts w:ascii="仿宋_GB2312" w:eastAsia="仿宋_GB2312" w:hAnsi="仿宋_GB2312" w:cs="仿宋_GB2312" w:hint="eastAsia"/>
          <w:b w:val="0"/>
          <w:bCs w:val="0"/>
          <w:color w:val="auto"/>
          <w:w w:val="100"/>
          <w:kern w:val="0"/>
          <w:sz w:val="32"/>
          <w:szCs w:val="32"/>
          <w:highlight w:val="none"/>
          <w:lang w:val="en-US" w:eastAsia="zh-CN" w:bidi="ar"/>
        </w:rPr>
        <w:t>电网企业和发电企业可作为合约的买方或卖方单向参与月度电网代理购电挂牌交易。电网企业或发电企业通过交易平台选择结算参考点价格后，采用分时段（全月24小时分时电量）或带曲线方式（分解曲线可采用自定义或典型曲线分解到月、日、小时）申报拟买入或卖出标的周期内拟买入或卖出的交易电量，形成要约。摘牌时间开始后各发电机组进行摘牌，摘牌电量要求详见【5.2.3可申报电量约束】。</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ascii="仿宋_GB2312" w:eastAsia="仿宋_GB2312" w:hAnsi="仿宋_GB2312" w:cs="仿宋_GB2312" w:hint="eastAsia"/>
          <w:b w:val="0"/>
          <w:bCs w:val="0"/>
          <w:color w:val="auto"/>
          <w:w w:val="100"/>
          <w:kern w:val="0"/>
          <w:sz w:val="32"/>
          <w:szCs w:val="32"/>
          <w:highlight w:val="none"/>
          <w:lang w:val="en-US" w:eastAsia="zh-CN" w:bidi="ar"/>
        </w:rPr>
      </w:pPr>
      <w:r>
        <w:rPr>
          <w:rFonts w:ascii="仿宋_GB2312" w:eastAsia="仿宋_GB2312" w:hAnsi="仿宋_GB2312" w:cs="仿宋_GB2312" w:hint="eastAsia"/>
          <w:b w:val="0"/>
          <w:bCs w:val="0"/>
          <w:color w:val="auto"/>
          <w:w w:val="100"/>
          <w:kern w:val="0"/>
          <w:sz w:val="32"/>
          <w:szCs w:val="32"/>
          <w:highlight w:val="none"/>
          <w:lang w:val="en-US" w:eastAsia="zh-CN" w:bidi="ar"/>
        </w:rPr>
        <w:t>5.3.8.6无约束出清</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kern w:val="0"/>
          <w:sz w:val="32"/>
          <w:szCs w:val="32"/>
          <w:highlight w:val="none"/>
          <w:lang w:val="en-US" w:eastAsia="zh-CN" w:bidi="ar"/>
        </w:rPr>
      </w:pPr>
      <w:r>
        <w:rPr>
          <w:rFonts w:ascii="仿宋_GB2312" w:eastAsia="仿宋_GB2312" w:hAnsi="仿宋_GB2312" w:cs="仿宋_GB2312" w:hint="eastAsia"/>
          <w:b w:val="0"/>
          <w:bCs w:val="0"/>
          <w:color w:val="auto"/>
          <w:w w:val="100"/>
          <w:kern w:val="0"/>
          <w:sz w:val="32"/>
          <w:szCs w:val="32"/>
          <w:highlight w:val="none"/>
          <w:lang w:val="en-US" w:eastAsia="zh-CN" w:bidi="ar"/>
        </w:rPr>
        <w:t>5.3.8.6.1采用即时出清或统一出清方式。</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kern w:val="0"/>
          <w:sz w:val="32"/>
          <w:szCs w:val="32"/>
          <w:highlight w:val="none"/>
          <w:lang w:val="en-US" w:eastAsia="zh-CN" w:bidi="ar"/>
        </w:rPr>
      </w:pPr>
      <w:r>
        <w:rPr>
          <w:rFonts w:ascii="仿宋_GB2312" w:eastAsia="仿宋_GB2312" w:hAnsi="仿宋_GB2312" w:cs="仿宋_GB2312" w:hint="eastAsia"/>
          <w:b w:val="0"/>
          <w:bCs w:val="0"/>
          <w:color w:val="auto"/>
          <w:w w:val="100"/>
          <w:kern w:val="0"/>
          <w:sz w:val="32"/>
          <w:szCs w:val="32"/>
          <w:highlight w:val="none"/>
          <w:lang w:val="en-US" w:eastAsia="zh-CN" w:bidi="ar"/>
        </w:rPr>
        <w:t>5.3.8.6.2当电网企业作为买方时，</w:t>
      </w:r>
      <w:r>
        <w:rPr>
          <w:rFonts w:ascii="仿宋_GB2312" w:eastAsia="仿宋_GB2312" w:hAnsi="仿宋_GB2312" w:cs="仿宋_GB2312" w:hint="eastAsia"/>
          <w:color w:val="auto"/>
          <w:w w:val="100"/>
          <w:sz w:val="32"/>
          <w:szCs w:val="32"/>
          <w:highlight w:val="none"/>
          <w:lang w:eastAsia="zh-CN" w:bidi="ar"/>
        </w:rPr>
        <w:t>依据挂牌电量优先满足各发电机组剩余最小发电能力，剩余挂牌电量按各机组摘牌时间先后顺序成交。若主动参与摘牌量小于电网企业挂牌量或者无发电机组主动摘牌，则按参与市场化交易</w:t>
      </w:r>
      <w:r>
        <w:rPr>
          <w:rFonts w:ascii="仿宋_GB2312" w:eastAsia="仿宋_GB2312" w:hAnsi="仿宋_GB2312" w:cs="仿宋_GB2312" w:hint="eastAsia"/>
          <w:color w:val="auto"/>
          <w:w w:val="100"/>
          <w:sz w:val="32"/>
          <w:szCs w:val="32"/>
          <w:highlight w:val="none"/>
          <w:lang w:val="en-US" w:eastAsia="zh-CN" w:bidi="ar"/>
        </w:rPr>
        <w:t>发电</w:t>
      </w:r>
      <w:r>
        <w:rPr>
          <w:rFonts w:ascii="仿宋_GB2312" w:eastAsia="仿宋_GB2312" w:hAnsi="仿宋_GB2312" w:cs="仿宋_GB2312" w:hint="eastAsia"/>
          <w:color w:val="auto"/>
          <w:w w:val="100"/>
          <w:sz w:val="32"/>
          <w:szCs w:val="32"/>
          <w:highlight w:val="none"/>
          <w:lang w:eastAsia="zh-CN" w:bidi="ar"/>
        </w:rPr>
        <w:t>机组的剩余容量等比例分配。</w:t>
      </w:r>
    </w:p>
    <w:p>
      <w:pPr>
        <w:pageBreakBefore w:val="0"/>
        <w:widowControl/>
        <w:kinsoku/>
        <w:wordWrap/>
        <w:overflowPunct/>
        <w:topLinePunct w:val="0"/>
        <w:autoSpaceDE/>
        <w:autoSpaceDN/>
        <w:bidi w:val="0"/>
        <w:adjustRightIn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kern w:val="0"/>
          <w:sz w:val="32"/>
          <w:szCs w:val="32"/>
          <w:highlight w:val="none"/>
          <w:lang w:val="en-US" w:eastAsia="zh-CN" w:bidi="ar"/>
        </w:rPr>
      </w:pPr>
      <w:r>
        <w:rPr>
          <w:rFonts w:ascii="仿宋_GB2312" w:eastAsia="仿宋_GB2312" w:hAnsi="仿宋_GB2312" w:cs="仿宋_GB2312" w:hint="eastAsia"/>
          <w:b w:val="0"/>
          <w:bCs w:val="0"/>
          <w:color w:val="auto"/>
          <w:w w:val="100"/>
          <w:kern w:val="0"/>
          <w:sz w:val="32"/>
          <w:szCs w:val="32"/>
          <w:highlight w:val="none"/>
          <w:lang w:val="en-US" w:eastAsia="zh-CN" w:bidi="ar"/>
        </w:rPr>
        <w:t>5.3.8.6.3当电网企业作为卖方时，首先</w:t>
      </w:r>
      <w:r>
        <w:rPr>
          <w:rFonts w:ascii="仿宋_GB2312" w:eastAsia="仿宋_GB2312" w:hAnsi="仿宋_GB2312" w:cs="仿宋_GB2312" w:hint="default"/>
          <w:b w:val="0"/>
          <w:bCs w:val="0"/>
          <w:color w:val="auto"/>
          <w:w w:val="100"/>
          <w:kern w:val="0"/>
          <w:sz w:val="32"/>
          <w:szCs w:val="32"/>
          <w:highlight w:val="none"/>
          <w:lang w:val="en-US" w:eastAsia="zh-CN" w:bidi="ar"/>
        </w:rPr>
        <w:t>按</w:t>
      </w:r>
      <w:r>
        <w:rPr>
          <w:rFonts w:ascii="仿宋_GB2312" w:eastAsia="仿宋_GB2312" w:hAnsi="仿宋_GB2312" w:cs="仿宋_GB2312" w:hint="eastAsia"/>
          <w:b w:val="0"/>
          <w:bCs w:val="0"/>
          <w:color w:val="auto"/>
          <w:w w:val="100"/>
          <w:kern w:val="0"/>
          <w:sz w:val="32"/>
          <w:szCs w:val="32"/>
          <w:highlight w:val="none"/>
          <w:lang w:val="en-US" w:eastAsia="zh-CN" w:bidi="ar"/>
        </w:rPr>
        <w:t>各机组摘牌时间先后顺序成交。若主动参与摘牌量小于电网企业挂牌量或者无发电机组主动摘牌，则按</w:t>
      </w:r>
      <w:r>
        <w:rPr>
          <w:rFonts w:ascii="仿宋_GB2312" w:eastAsia="仿宋_GB2312" w:hAnsi="仿宋_GB2312" w:cs="仿宋_GB2312" w:hint="eastAsia"/>
          <w:color w:val="auto"/>
          <w:w w:val="100"/>
          <w:sz w:val="32"/>
          <w:szCs w:val="32"/>
          <w:highlight w:val="none"/>
          <w:lang w:eastAsia="zh-CN" w:bidi="ar"/>
        </w:rPr>
        <w:t>参与市场化交易</w:t>
      </w:r>
      <w:r>
        <w:rPr>
          <w:rFonts w:ascii="仿宋_GB2312" w:eastAsia="仿宋_GB2312" w:hAnsi="仿宋_GB2312" w:cs="仿宋_GB2312" w:hint="eastAsia"/>
          <w:b w:val="0"/>
          <w:bCs w:val="0"/>
          <w:color w:val="auto"/>
          <w:w w:val="100"/>
          <w:kern w:val="0"/>
          <w:sz w:val="32"/>
          <w:szCs w:val="32"/>
          <w:highlight w:val="none"/>
          <w:lang w:val="en-US" w:eastAsia="zh-CN" w:bidi="ar"/>
        </w:rPr>
        <w:t>发电机组持有的代理购电合约电量净值等比例调减。</w:t>
      </w:r>
    </w:p>
    <w:p>
      <w:pPr>
        <w:pageBreakBefore w:val="0"/>
        <w:widowControl/>
        <w:kinsoku/>
        <w:wordWrap/>
        <w:overflowPunct/>
        <w:topLinePunct w:val="0"/>
        <w:autoSpaceDE/>
        <w:autoSpaceDN/>
        <w:bidi w:val="0"/>
        <w:adjustRightIn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kern w:val="0"/>
          <w:sz w:val="32"/>
          <w:szCs w:val="32"/>
          <w:highlight w:val="none"/>
          <w:lang w:val="en-US" w:eastAsia="zh-CN" w:bidi="ar"/>
        </w:rPr>
      </w:pPr>
      <w:r>
        <w:rPr>
          <w:rFonts w:ascii="仿宋_GB2312" w:eastAsia="仿宋_GB2312" w:hAnsi="仿宋_GB2312" w:cs="仿宋_GB2312" w:hint="eastAsia"/>
          <w:b w:val="0"/>
          <w:bCs w:val="0"/>
          <w:color w:val="auto"/>
          <w:w w:val="100"/>
          <w:kern w:val="0"/>
          <w:sz w:val="32"/>
          <w:szCs w:val="32"/>
          <w:highlight w:val="none"/>
          <w:lang w:val="en-US" w:eastAsia="zh-CN" w:bidi="ar"/>
        </w:rPr>
        <w:t>5.3.8.6.4当买卖双方均为发电企业时，摘牌电量即为成交电量。</w:t>
      </w:r>
    </w:p>
    <w:p>
      <w:pPr>
        <w:pageBreakBefore w:val="0"/>
        <w:widowControl/>
        <w:kinsoku/>
        <w:wordWrap/>
        <w:overflowPunct/>
        <w:topLinePunct w:val="0"/>
        <w:autoSpaceDE/>
        <w:autoSpaceDN/>
        <w:bidi w:val="0"/>
        <w:adjustRightInd/>
        <w:spacing w:line="600" w:lineRule="exact"/>
        <w:ind w:left="0" w:right="0" w:firstLine="640" w:firstLineChars="200"/>
        <w:jc w:val="both"/>
        <w:textAlignment w:val="auto"/>
        <w:rPr>
          <w:rFonts w:ascii="仿宋_GB2312" w:eastAsia="仿宋_GB2312" w:hAnsi="仿宋_GB2312" w:cs="仿宋_GB2312" w:hint="default"/>
          <w:b w:val="0"/>
          <w:bCs w:val="0"/>
          <w:color w:val="auto"/>
          <w:w w:val="100"/>
          <w:kern w:val="0"/>
          <w:sz w:val="32"/>
          <w:szCs w:val="32"/>
          <w:highlight w:val="none"/>
          <w:lang w:val="en-US" w:eastAsia="zh-CN" w:bidi="ar"/>
        </w:rPr>
      </w:pPr>
      <w:r>
        <w:rPr>
          <w:rFonts w:ascii="仿宋_GB2312" w:eastAsia="仿宋_GB2312" w:hAnsi="仿宋_GB2312" w:cs="仿宋_GB2312" w:hint="eastAsia"/>
          <w:b w:val="0"/>
          <w:bCs w:val="0"/>
          <w:color w:val="auto"/>
          <w:w w:val="100"/>
          <w:kern w:val="0"/>
          <w:sz w:val="32"/>
          <w:szCs w:val="32"/>
          <w:highlight w:val="none"/>
          <w:lang w:val="en-US" w:eastAsia="zh-CN" w:bidi="ar"/>
        </w:rPr>
        <w:t>5.3.8.6.5分时段申报方式下，按照电网企业或发电企业提交的全月24小时分时交易电量进行匹配出清，</w:t>
      </w:r>
      <w:r>
        <w:rPr>
          <w:rFonts w:ascii="仿宋_GB2312" w:eastAsia="仿宋_GB2312" w:hAnsi="仿宋_GB2312" w:cs="仿宋_GB2312" w:hint="eastAsia"/>
          <w:color w:val="auto"/>
          <w:w w:val="100"/>
          <w:sz w:val="32"/>
          <w:szCs w:val="32"/>
          <w:highlight w:val="none"/>
          <w:lang w:val="en-US" w:eastAsia="zh-CN" w:bidi="ar-SA"/>
        </w:rPr>
        <w:t>各时段所</w:t>
      </w:r>
      <w:r>
        <w:rPr>
          <w:rFonts w:ascii="仿宋_GB2312" w:eastAsia="仿宋_GB2312" w:hAnsi="仿宋_GB2312" w:cs="仿宋_GB2312" w:hint="default"/>
          <w:color w:val="auto"/>
          <w:w w:val="100"/>
          <w:sz w:val="32"/>
          <w:szCs w:val="32"/>
          <w:highlight w:val="none"/>
          <w:lang w:val="en-US" w:eastAsia="zh-CN" w:bidi="ar-SA"/>
        </w:rPr>
        <w:t>对应日期</w:t>
      </w:r>
      <w:r>
        <w:rPr>
          <w:rFonts w:ascii="仿宋_GB2312" w:eastAsia="仿宋_GB2312" w:hAnsi="仿宋_GB2312" w:cs="仿宋_GB2312" w:hint="eastAsia"/>
          <w:color w:val="auto"/>
          <w:w w:val="100"/>
          <w:sz w:val="32"/>
          <w:szCs w:val="32"/>
          <w:highlight w:val="none"/>
          <w:lang w:val="en-US" w:eastAsia="zh-CN" w:bidi="ar-SA"/>
        </w:rPr>
        <w:t>的成交电量都相同</w:t>
      </w:r>
      <w:r>
        <w:rPr>
          <w:rFonts w:ascii="仿宋_GB2312" w:eastAsia="仿宋_GB2312" w:hAnsi="仿宋_GB2312" w:cs="仿宋_GB2312" w:hint="eastAsia"/>
          <w:b w:val="0"/>
          <w:bCs w:val="0"/>
          <w:color w:val="auto"/>
          <w:w w:val="100"/>
          <w:kern w:val="0"/>
          <w:sz w:val="32"/>
          <w:szCs w:val="32"/>
          <w:highlight w:val="none"/>
          <w:lang w:val="en-US" w:eastAsia="zh-CN" w:bidi="ar"/>
        </w:rPr>
        <w:t>；带曲线申报方式下，按照电网企业或发电企业提交的申报总电量进行匹配出清，交易平台自动</w:t>
      </w:r>
      <w:r>
        <w:rPr>
          <w:rFonts w:ascii="仿宋_GB2312" w:eastAsia="仿宋_GB2312" w:hAnsi="仿宋_GB2312" w:cs="仿宋_GB2312" w:hint="default"/>
          <w:b w:val="0"/>
          <w:bCs w:val="0"/>
          <w:color w:val="auto"/>
          <w:w w:val="100"/>
          <w:kern w:val="0"/>
          <w:sz w:val="32"/>
          <w:szCs w:val="32"/>
          <w:highlight w:val="none"/>
          <w:lang w:val="en-US" w:eastAsia="zh-CN" w:bidi="ar"/>
        </w:rPr>
        <w:t>根据</w:t>
      </w:r>
      <w:r>
        <w:rPr>
          <w:rFonts w:ascii="仿宋_GB2312" w:eastAsia="仿宋_GB2312" w:hAnsi="仿宋_GB2312" w:cs="仿宋_GB2312" w:hint="eastAsia"/>
          <w:b w:val="0"/>
          <w:bCs w:val="0"/>
          <w:color w:val="auto"/>
          <w:w w:val="100"/>
          <w:kern w:val="0"/>
          <w:sz w:val="32"/>
          <w:szCs w:val="32"/>
          <w:highlight w:val="none"/>
          <w:lang w:val="en-US" w:eastAsia="zh-CN" w:bidi="ar"/>
        </w:rPr>
        <w:t>分解曲线</w:t>
      </w:r>
      <w:r>
        <w:rPr>
          <w:rFonts w:ascii="仿宋_GB2312" w:eastAsia="仿宋_GB2312" w:hAnsi="仿宋_GB2312" w:cs="仿宋_GB2312" w:hint="default"/>
          <w:b w:val="0"/>
          <w:bCs w:val="0"/>
          <w:color w:val="auto"/>
          <w:w w:val="100"/>
          <w:kern w:val="0"/>
          <w:sz w:val="32"/>
          <w:szCs w:val="32"/>
          <w:highlight w:val="none"/>
          <w:lang w:val="en-US" w:eastAsia="zh-CN" w:bidi="ar"/>
        </w:rPr>
        <w:t>，将</w:t>
      </w:r>
      <w:r>
        <w:rPr>
          <w:rFonts w:ascii="仿宋_GB2312" w:eastAsia="仿宋_GB2312" w:hAnsi="仿宋_GB2312" w:cs="仿宋_GB2312" w:hint="eastAsia"/>
          <w:b w:val="0"/>
          <w:bCs w:val="0"/>
          <w:color w:val="auto"/>
          <w:w w:val="100"/>
          <w:kern w:val="0"/>
          <w:sz w:val="32"/>
          <w:szCs w:val="32"/>
          <w:highlight w:val="none"/>
          <w:lang w:val="en-US" w:eastAsia="zh-CN" w:bidi="ar"/>
        </w:rPr>
        <w:t>各时段</w:t>
      </w:r>
      <w:r>
        <w:rPr>
          <w:rFonts w:ascii="仿宋_GB2312" w:eastAsia="仿宋_GB2312" w:hAnsi="仿宋_GB2312" w:cs="仿宋_GB2312" w:hint="default"/>
          <w:b w:val="0"/>
          <w:bCs w:val="0"/>
          <w:color w:val="auto"/>
          <w:w w:val="100"/>
          <w:kern w:val="0"/>
          <w:sz w:val="32"/>
          <w:szCs w:val="32"/>
          <w:highlight w:val="none"/>
          <w:lang w:val="en-US" w:eastAsia="zh-CN" w:bidi="ar"/>
        </w:rPr>
        <w:t>成交</w:t>
      </w:r>
      <w:r>
        <w:rPr>
          <w:rFonts w:ascii="仿宋_GB2312" w:eastAsia="仿宋_GB2312" w:hAnsi="仿宋_GB2312" w:cs="仿宋_GB2312" w:hint="eastAsia"/>
          <w:b w:val="0"/>
          <w:bCs w:val="0"/>
          <w:color w:val="auto"/>
          <w:w w:val="100"/>
          <w:kern w:val="0"/>
          <w:sz w:val="32"/>
          <w:szCs w:val="32"/>
          <w:highlight w:val="none"/>
          <w:lang w:val="en-US" w:eastAsia="zh-CN" w:bidi="ar"/>
        </w:rPr>
        <w:t>电</w:t>
      </w:r>
      <w:r>
        <w:rPr>
          <w:rFonts w:ascii="仿宋_GB2312" w:eastAsia="仿宋_GB2312" w:hAnsi="仿宋_GB2312" w:cs="仿宋_GB2312" w:hint="default"/>
          <w:b w:val="0"/>
          <w:bCs w:val="0"/>
          <w:color w:val="auto"/>
          <w:w w:val="100"/>
          <w:kern w:val="0"/>
          <w:sz w:val="32"/>
          <w:szCs w:val="32"/>
          <w:highlight w:val="none"/>
          <w:lang w:val="en-US" w:eastAsia="zh-CN" w:bidi="ar"/>
        </w:rPr>
        <w:t>量均分</w:t>
      </w:r>
      <w:r>
        <w:rPr>
          <w:rFonts w:ascii="仿宋_GB2312" w:eastAsia="仿宋_GB2312" w:hAnsi="仿宋_GB2312" w:cs="仿宋_GB2312" w:hint="eastAsia"/>
          <w:b w:val="0"/>
          <w:bCs w:val="0"/>
          <w:color w:val="auto"/>
          <w:w w:val="100"/>
          <w:kern w:val="0"/>
          <w:sz w:val="32"/>
          <w:szCs w:val="32"/>
          <w:highlight w:val="none"/>
          <w:lang w:val="en-US" w:eastAsia="zh-CN" w:bidi="ar"/>
        </w:rPr>
        <w:t>或按比例分配</w:t>
      </w:r>
      <w:r>
        <w:rPr>
          <w:rFonts w:ascii="仿宋_GB2312" w:eastAsia="仿宋_GB2312" w:hAnsi="仿宋_GB2312" w:cs="仿宋_GB2312" w:hint="default"/>
          <w:b w:val="0"/>
          <w:bCs w:val="0"/>
          <w:color w:val="auto"/>
          <w:w w:val="100"/>
          <w:kern w:val="0"/>
          <w:sz w:val="32"/>
          <w:szCs w:val="32"/>
          <w:highlight w:val="none"/>
          <w:lang w:val="en-US" w:eastAsia="zh-CN" w:bidi="ar"/>
        </w:rPr>
        <w:t>至对应日期</w:t>
      </w:r>
      <w:r>
        <w:rPr>
          <w:rFonts w:ascii="仿宋_GB2312" w:eastAsia="仿宋_GB2312" w:hAnsi="仿宋_GB2312" w:cs="仿宋_GB2312" w:hint="eastAsia"/>
          <w:b w:val="0"/>
          <w:bCs w:val="0"/>
          <w:color w:val="auto"/>
          <w:w w:val="100"/>
          <w:kern w:val="0"/>
          <w:sz w:val="32"/>
          <w:szCs w:val="32"/>
          <w:highlight w:val="none"/>
          <w:lang w:val="en-US" w:eastAsia="zh-CN" w:bidi="ar"/>
        </w:rPr>
        <w:t>；挂牌方发布要约的价格即为该笔成交对的成交价格。</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2"/>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5.3.9周集中交易</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可采用集中竞价、滚动撮合、挂牌交易任意一种或多种方式开展。允许各交易单元作为合约的买方或卖方单向参与周集中交易。</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5.3.9.1参与的市场成员</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已完成交易平台注册且符合准入条件的发电企业、电力用户、售电公司、独立储能。</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5.3.9.2交易周期及标的</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周集中交易的标的物为直接交易经营主体次周的电量。</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5.3.9.3交易公告发布</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交易中心发布周集中交易公告，内容包括但不限于：</w:t>
      </w:r>
      <w:r>
        <w:rPr>
          <w:rFonts w:ascii="仿宋_GB2312" w:eastAsia="仿宋_GB2312" w:hAnsi="仿宋_GB2312" w:cs="仿宋_GB2312" w:hint="eastAsia"/>
          <w:color w:val="auto"/>
          <w:sz w:val="32"/>
          <w:szCs w:val="32"/>
          <w:highlight w:val="none"/>
          <w:lang w:eastAsia="zh-CN" w:bidi="ar"/>
        </w:rPr>
        <w:t>交易品种、交易主体、交易方式、交易申报时间、交易执行时间、交易参数、出清方式、交易约束信息、交易操作说明、其他准备信息等</w:t>
      </w:r>
      <w:r>
        <w:rPr>
          <w:rFonts w:ascii="仿宋_GB2312" w:eastAsia="仿宋_GB2312" w:hAnsi="仿宋_GB2312" w:cs="仿宋_GB2312" w:hint="eastAsia"/>
          <w:b w:val="0"/>
          <w:bCs w:val="0"/>
          <w:color w:val="auto"/>
          <w:w w:val="100"/>
          <w:kern w:val="0"/>
          <w:sz w:val="32"/>
          <w:szCs w:val="32"/>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5.3.9.4交易申报</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5.3.9.4.1集中竞价交易：申报方式按【5.3.7月度集中交易】中的集中竞价交易申报方式执行，申报电量要求详见【5.2.3可申报电量约束】。如有变化，以正式发布公告为准。</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kern w:val="0"/>
          <w:sz w:val="32"/>
          <w:szCs w:val="32"/>
          <w:highlight w:val="none"/>
          <w:lang w:val="en-US" w:eastAsia="zh-CN" w:bidi="ar"/>
        </w:rPr>
      </w:pPr>
      <w:r>
        <w:rPr>
          <w:rFonts w:ascii="仿宋_GB2312" w:eastAsia="仿宋_GB2312" w:hAnsi="仿宋_GB2312" w:cs="仿宋_GB2312" w:hint="eastAsia"/>
          <w:b w:val="0"/>
          <w:bCs w:val="0"/>
          <w:color w:val="auto"/>
          <w:w w:val="100"/>
          <w:kern w:val="0"/>
          <w:sz w:val="32"/>
          <w:szCs w:val="32"/>
          <w:highlight w:val="none"/>
          <w:lang w:val="en-US" w:eastAsia="zh-CN" w:bidi="ar"/>
        </w:rPr>
        <w:t>5.3.9.4.2滚动撮合交易：申报方式按【5.3.7月度集中交易】中的滚动撮合交易申报方式执行，申报电量要求详见【5.2.3可申报电量约束】。如有变化，以正式发布公告为准。</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5.3.9.4.3挂牌交易：申报方式按【5.3.7月度集中交易】中的挂牌交易申报方式执行，申报电量要求详见【5.2.3可申报电量约束】。如有变化，以正式发布公告为准。</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5.3.9.5无约束出清</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5.3.9.5.1集中竞价交易出清：参照【5.3.7月度集中交易】中集中竞价交易出清方式。</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kern w:val="0"/>
          <w:sz w:val="32"/>
          <w:szCs w:val="32"/>
          <w:highlight w:val="none"/>
          <w:lang w:val="en-US" w:eastAsia="zh-CN" w:bidi="ar"/>
        </w:rPr>
      </w:pPr>
      <w:r>
        <w:rPr>
          <w:rFonts w:ascii="仿宋_GB2312" w:eastAsia="仿宋_GB2312" w:hAnsi="仿宋_GB2312" w:cs="仿宋_GB2312" w:hint="eastAsia"/>
          <w:b w:val="0"/>
          <w:bCs w:val="0"/>
          <w:color w:val="auto"/>
          <w:w w:val="100"/>
          <w:kern w:val="0"/>
          <w:sz w:val="32"/>
          <w:szCs w:val="32"/>
          <w:highlight w:val="none"/>
          <w:lang w:val="en-US" w:eastAsia="zh-CN" w:bidi="ar"/>
        </w:rPr>
        <w:t>5.3.9.5.2滚动撮合交易出清：参照【5.3.7月度集中交易】中滚动撮合交易出清方式。</w:t>
      </w:r>
    </w:p>
    <w:p>
      <w:pPr>
        <w:pageBreakBefore w:val="0"/>
        <w:widowControl/>
        <w:kinsoku/>
        <w:wordWrap/>
        <w:overflowPunct/>
        <w:topLinePunct w:val="0"/>
        <w:autoSpaceDE/>
        <w:autoSpaceDN/>
        <w:bidi w:val="0"/>
        <w:adjustRightInd/>
        <w:spacing w:line="600" w:lineRule="exact"/>
        <w:ind w:left="0" w:right="0" w:firstLine="640" w:firstLineChars="200"/>
        <w:jc w:val="both"/>
        <w:textAlignment w:val="auto"/>
        <w:rPr>
          <w:rFonts w:hint="eastAsia"/>
          <w:color w:val="auto"/>
          <w:w w:val="100"/>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5.3.9.5.3挂牌交易出清：参照【5.3.7月度集中交易】中挂牌交易出清方式。</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2"/>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5.3.10周电网企业代理购电挂牌交易</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5.3.10.1参与的市场成员</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已完成交易平台注册且符合准入条件的发电企业、电网企业（含增量配电网企业）。</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5.3.10.2交易周期及标的</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周电网企业代理购电挂牌交易的标的物为电网企业代理购电次周的电量。</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5.3.10.3交易公告发布</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交易中心发布周挂牌交易公告，内容包括但不限于：</w:t>
      </w:r>
      <w:r>
        <w:rPr>
          <w:rFonts w:ascii="仿宋_GB2312" w:eastAsia="仿宋_GB2312" w:hAnsi="仿宋_GB2312" w:cs="仿宋_GB2312" w:hint="eastAsia"/>
          <w:color w:val="auto"/>
          <w:sz w:val="32"/>
          <w:szCs w:val="32"/>
          <w:highlight w:val="none"/>
          <w:lang w:eastAsia="zh-CN" w:bidi="ar"/>
        </w:rPr>
        <w:t>交易品种、交易主体、交易方式、交易申报时间、交易执行时间、交易参数、出清方式、交易约束信息、交易操作说明、其他准备信息等</w:t>
      </w:r>
      <w:r>
        <w:rPr>
          <w:rFonts w:ascii="仿宋_GB2312" w:eastAsia="仿宋_GB2312" w:hAnsi="仿宋_GB2312" w:cs="仿宋_GB2312" w:hint="eastAsia"/>
          <w:b w:val="0"/>
          <w:bCs w:val="0"/>
          <w:color w:val="auto"/>
          <w:w w:val="100"/>
          <w:kern w:val="0"/>
          <w:sz w:val="32"/>
          <w:szCs w:val="32"/>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ascii="仿宋_GB2312" w:eastAsia="仿宋_GB2312" w:hAnsi="仿宋_GB2312" w:cs="仿宋_GB2312" w:hint="eastAsia"/>
          <w:color w:val="auto"/>
          <w:sz w:val="32"/>
          <w:szCs w:val="32"/>
          <w:highlight w:val="none"/>
          <w:lang w:eastAsia="zh-CN" w:bidi="ar"/>
        </w:rPr>
      </w:pPr>
      <w:r>
        <w:rPr>
          <w:rFonts w:ascii="仿宋_GB2312" w:eastAsia="仿宋_GB2312" w:hAnsi="仿宋_GB2312" w:cs="仿宋_GB2312" w:hint="eastAsia"/>
          <w:b w:val="0"/>
          <w:bCs w:val="0"/>
          <w:color w:val="auto"/>
          <w:w w:val="100"/>
          <w:kern w:val="0"/>
          <w:sz w:val="32"/>
          <w:szCs w:val="32"/>
          <w:highlight w:val="none"/>
          <w:lang w:val="en-US" w:eastAsia="zh-CN" w:bidi="ar"/>
        </w:rPr>
        <w:t>5.3.10.4挂牌</w:t>
      </w:r>
      <w:r>
        <w:rPr>
          <w:rFonts w:ascii="仿宋_GB2312" w:eastAsia="仿宋_GB2312" w:hAnsi="仿宋_GB2312" w:cs="仿宋_GB2312" w:hint="eastAsia"/>
          <w:color w:val="auto"/>
          <w:sz w:val="32"/>
          <w:szCs w:val="32"/>
          <w:highlight w:val="none"/>
          <w:lang w:eastAsia="zh-CN" w:bidi="ar"/>
        </w:rPr>
        <w:t>价格</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color w:val="auto"/>
          <w:w w:val="100"/>
          <w:sz w:val="32"/>
          <w:szCs w:val="32"/>
          <w:highlight w:val="none"/>
          <w:lang w:val="en-US" w:eastAsia="zh-CN" w:bidi="ar-SA"/>
        </w:rPr>
      </w:pPr>
      <w:r>
        <w:rPr>
          <w:rFonts w:ascii="仿宋_GB2312" w:eastAsia="仿宋_GB2312" w:hAnsi="仿宋_GB2312" w:cs="仿宋_GB2312" w:hint="eastAsia"/>
          <w:color w:val="auto"/>
          <w:w w:val="100"/>
          <w:sz w:val="32"/>
          <w:szCs w:val="32"/>
          <w:highlight w:val="none"/>
          <w:lang w:val="en-US" w:eastAsia="zh-CN" w:bidi="ar-SA"/>
        </w:rPr>
        <w:t>周电网企业代理购电挂牌交易采用统一价格，价格按照最近一次周集中竞价交易加权平均价执行。</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5.3.10.5交易申报</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kern w:val="0"/>
          <w:sz w:val="32"/>
          <w:szCs w:val="32"/>
          <w:highlight w:val="none"/>
          <w:lang w:val="en-US" w:eastAsia="zh-CN" w:bidi="ar"/>
        </w:rPr>
      </w:pPr>
      <w:r>
        <w:rPr>
          <w:rFonts w:ascii="仿宋_GB2312" w:eastAsia="仿宋_GB2312" w:hAnsi="仿宋_GB2312" w:cs="仿宋_GB2312" w:hint="eastAsia"/>
          <w:b w:val="0"/>
          <w:bCs w:val="0"/>
          <w:color w:val="auto"/>
          <w:w w:val="100"/>
          <w:kern w:val="0"/>
          <w:sz w:val="32"/>
          <w:szCs w:val="32"/>
          <w:highlight w:val="none"/>
          <w:lang w:val="en-US" w:eastAsia="zh-CN" w:bidi="ar"/>
        </w:rPr>
        <w:t>周电网代理购电挂牌交易的申报参照【5.3.8月度电网代理购电挂牌交易】申报方式，申报电量要求详见【5.2.3可申报电量约束】。如有变化，以正式发布公告为准。</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5.3.10.6无约束出清</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周电网企业代理购电挂牌交易出清规则按【5.3.8月度电网代理购电挂牌交易】执行。</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2"/>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5.3.11多日双边协商交易</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color w:val="auto"/>
          <w:w w:val="100"/>
          <w:sz w:val="32"/>
          <w:szCs w:val="32"/>
          <w:highlight w:val="none"/>
          <w:lang w:eastAsia="zh-CN" w:bidi="ar"/>
        </w:rPr>
      </w:pPr>
      <w:r>
        <w:rPr>
          <w:rFonts w:ascii="仿宋_GB2312" w:eastAsia="仿宋_GB2312" w:hAnsi="仿宋_GB2312" w:cs="仿宋_GB2312" w:hint="eastAsia"/>
          <w:color w:val="auto"/>
          <w:w w:val="100"/>
          <w:sz w:val="32"/>
          <w:szCs w:val="32"/>
          <w:highlight w:val="none"/>
          <w:lang w:eastAsia="zh-CN" w:bidi="ar"/>
        </w:rPr>
        <w:t>允许经营主体作为合约的买方或卖方单向参与多日</w:t>
      </w:r>
      <w:r>
        <w:rPr>
          <w:rFonts w:ascii="仿宋_GB2312" w:eastAsia="仿宋_GB2312" w:hAnsi="仿宋_GB2312" w:cs="仿宋_GB2312" w:hint="eastAsia"/>
          <w:color w:val="auto"/>
          <w:w w:val="100"/>
          <w:sz w:val="32"/>
          <w:szCs w:val="32"/>
          <w:highlight w:val="none"/>
          <w:lang w:val="en-US" w:eastAsia="zh-CN" w:bidi="ar"/>
        </w:rPr>
        <w:t>双边协商</w:t>
      </w:r>
      <w:r>
        <w:rPr>
          <w:rFonts w:ascii="仿宋_GB2312" w:eastAsia="仿宋_GB2312" w:hAnsi="仿宋_GB2312" w:cs="仿宋_GB2312" w:hint="eastAsia"/>
          <w:color w:val="auto"/>
          <w:w w:val="100"/>
          <w:sz w:val="32"/>
          <w:szCs w:val="32"/>
          <w:highlight w:val="none"/>
          <w:lang w:eastAsia="zh-CN" w:bidi="ar"/>
        </w:rPr>
        <w:t>交易。</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5.3.11.1参与的市场成员</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已完成交易平台注册且符合准入条件的发电企业、电力用户、售电公司、独立储能。</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5.3.11.2交易周期及标的</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多日双边协商交易的标的物为交易周期内每日24小时分时电量，具体交易周期以海南电力交易中心发布公告为准。</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5.3.11.3交易公告发布</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交易中心发布多日双边协商交易公告，内容包括但不限于：</w:t>
      </w:r>
      <w:r>
        <w:rPr>
          <w:rFonts w:ascii="仿宋_GB2312" w:eastAsia="仿宋_GB2312" w:hAnsi="仿宋_GB2312" w:cs="仿宋_GB2312" w:hint="eastAsia"/>
          <w:color w:val="auto"/>
          <w:sz w:val="32"/>
          <w:szCs w:val="32"/>
          <w:highlight w:val="none"/>
          <w:lang w:eastAsia="zh-CN" w:bidi="ar"/>
        </w:rPr>
        <w:t>交易品种、交易主体、交易方式、交易申报时间、交易执行时间、交易参数、出清方式、交易约束信息、交易操作说明、其他准备信息等</w:t>
      </w:r>
      <w:r>
        <w:rPr>
          <w:rFonts w:ascii="仿宋_GB2312" w:eastAsia="仿宋_GB2312" w:hAnsi="仿宋_GB2312" w:cs="仿宋_GB2312" w:hint="eastAsia"/>
          <w:b w:val="0"/>
          <w:bCs w:val="0"/>
          <w:color w:val="auto"/>
          <w:w w:val="100"/>
          <w:kern w:val="0"/>
          <w:sz w:val="32"/>
          <w:szCs w:val="32"/>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5.3.11.4交易申报</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kern w:val="0"/>
          <w:sz w:val="32"/>
          <w:szCs w:val="32"/>
          <w:highlight w:val="none"/>
          <w:lang w:val="en-US" w:eastAsia="zh-CN" w:bidi="ar"/>
        </w:rPr>
      </w:pPr>
      <w:r>
        <w:rPr>
          <w:rFonts w:ascii="仿宋_GB2312" w:eastAsia="仿宋_GB2312" w:hAnsi="仿宋_GB2312" w:cs="仿宋_GB2312" w:hint="eastAsia"/>
          <w:color w:val="auto"/>
          <w:w w:val="100"/>
          <w:sz w:val="32"/>
          <w:szCs w:val="32"/>
          <w:highlight w:val="none"/>
          <w:lang w:val="en-US" w:eastAsia="zh-CN" w:bidi="ar-SA"/>
        </w:rPr>
        <w:t>经营主体自主协商确定结算参考点价格</w:t>
      </w:r>
      <w:r>
        <w:rPr>
          <w:rFonts w:ascii="仿宋_GB2312" w:eastAsia="仿宋_GB2312" w:hAnsi="仿宋_GB2312" w:cs="仿宋_GB2312" w:hint="eastAsia"/>
          <w:color w:val="auto"/>
          <w:sz w:val="32"/>
          <w:szCs w:val="32"/>
          <w:highlight w:val="none"/>
          <w:lang w:eastAsia="zh-CN" w:bidi="ar"/>
        </w:rPr>
        <w:t>、交易电量和交易价格后，根据交易时间安排，由任意一方在交易平台中</w:t>
      </w:r>
      <w:r>
        <w:rPr>
          <w:rFonts w:ascii="仿宋_GB2312" w:eastAsia="仿宋_GB2312" w:hAnsi="仿宋_GB2312" w:cs="仿宋_GB2312" w:hint="eastAsia"/>
          <w:color w:val="auto"/>
          <w:w w:val="100"/>
          <w:sz w:val="32"/>
          <w:szCs w:val="32"/>
          <w:highlight w:val="none"/>
          <w:lang w:val="en-US" w:eastAsia="zh-CN" w:bidi="ar-SA"/>
        </w:rPr>
        <w:t>采用分时段形式申报每日24小时分时交易电量和交易价格</w:t>
      </w:r>
      <w:r>
        <w:rPr>
          <w:rFonts w:ascii="仿宋_GB2312" w:eastAsia="仿宋_GB2312" w:hAnsi="仿宋_GB2312" w:cs="仿宋_GB2312" w:hint="eastAsia"/>
          <w:color w:val="auto"/>
          <w:sz w:val="32"/>
          <w:szCs w:val="32"/>
          <w:highlight w:val="none"/>
          <w:lang w:eastAsia="zh-CN" w:bidi="ar"/>
        </w:rPr>
        <w:t>，另一方在申报时间截止前进行确认后达成交易意向，未在申报时间截止前确认的视为未成交</w:t>
      </w:r>
      <w:r>
        <w:rPr>
          <w:rFonts w:ascii="仿宋_GB2312" w:eastAsia="仿宋_GB2312" w:hAnsi="仿宋_GB2312" w:cs="仿宋_GB2312" w:hint="eastAsia"/>
          <w:b w:val="0"/>
          <w:bCs w:val="0"/>
          <w:color w:val="auto"/>
          <w:w w:val="100"/>
          <w:kern w:val="0"/>
          <w:sz w:val="32"/>
          <w:szCs w:val="32"/>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2"/>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5.3.12多日集中交易</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可采用集中竞价、滚动撮合、挂牌交易任意一种或多种方式开展。允许各交易单元作为合约的买方或卖方单向参与多日集中交易。</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5.3.12.1参与的市场成员</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已完成交易平台注册且符合准入条件的发电企业、电力用户、售电公司、独立储能。</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5.3.12.2交易周期及标的</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kern w:val="0"/>
          <w:sz w:val="32"/>
          <w:szCs w:val="32"/>
          <w:highlight w:val="none"/>
          <w:lang w:val="en-US" w:eastAsia="zh-CN" w:bidi="ar"/>
        </w:rPr>
      </w:pPr>
      <w:r>
        <w:rPr>
          <w:rFonts w:ascii="仿宋_GB2312" w:eastAsia="仿宋_GB2312" w:hAnsi="仿宋_GB2312" w:cs="仿宋_GB2312" w:hint="eastAsia"/>
          <w:color w:val="auto"/>
          <w:w w:val="100"/>
          <w:sz w:val="32"/>
          <w:szCs w:val="32"/>
          <w:highlight w:val="none"/>
          <w:lang w:val="en-US" w:eastAsia="zh-CN" w:bidi="ar-SA"/>
        </w:rPr>
        <w:t>多日集中交易的标的物为交易周期内每日24小时分时电量</w:t>
      </w:r>
      <w:r>
        <w:rPr>
          <w:rFonts w:ascii="仿宋_GB2312" w:eastAsia="仿宋_GB2312" w:hAnsi="仿宋_GB2312" w:cs="仿宋_GB2312" w:hint="eastAsia"/>
          <w:b w:val="0"/>
          <w:bCs w:val="0"/>
          <w:color w:val="auto"/>
          <w:w w:val="100"/>
          <w:kern w:val="0"/>
          <w:sz w:val="32"/>
          <w:szCs w:val="32"/>
          <w:highlight w:val="none"/>
          <w:lang w:val="en-US" w:eastAsia="zh-CN" w:bidi="ar"/>
        </w:rPr>
        <w:t>，具体交易周期以海南电力交易中心发布公告为准。</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5.3.12.3交易公告发布</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交易中心发布多日集中交易公告，内容包括但不限于：</w:t>
      </w:r>
      <w:r>
        <w:rPr>
          <w:rFonts w:ascii="仿宋_GB2312" w:eastAsia="仿宋_GB2312" w:hAnsi="仿宋_GB2312" w:cs="仿宋_GB2312" w:hint="eastAsia"/>
          <w:color w:val="auto"/>
          <w:sz w:val="32"/>
          <w:szCs w:val="32"/>
          <w:highlight w:val="none"/>
          <w:lang w:eastAsia="zh-CN" w:bidi="ar"/>
        </w:rPr>
        <w:t>交易品种、交易主体、交易方式、交易申报时间、交易执行时间、交易参数、出清方式、交易约束信息、交易操作说明、其他准备信息等</w:t>
      </w:r>
      <w:r>
        <w:rPr>
          <w:rFonts w:ascii="仿宋_GB2312" w:eastAsia="仿宋_GB2312" w:hAnsi="仿宋_GB2312" w:cs="仿宋_GB2312" w:hint="eastAsia"/>
          <w:b w:val="0"/>
          <w:bCs w:val="0"/>
          <w:color w:val="auto"/>
          <w:w w:val="100"/>
          <w:kern w:val="0"/>
          <w:sz w:val="32"/>
          <w:szCs w:val="32"/>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5.3.12.4交易申报</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5.3.12.4.1集中竞价交易：各交易单元通过交易平台采用</w:t>
      </w:r>
      <w:r>
        <w:rPr>
          <w:rFonts w:ascii="仿宋_GB2312" w:eastAsia="仿宋_GB2312" w:hAnsi="仿宋_GB2312" w:cs="仿宋_GB2312" w:hint="eastAsia"/>
          <w:color w:val="auto"/>
          <w:w w:val="100"/>
          <w:sz w:val="32"/>
          <w:szCs w:val="32"/>
          <w:highlight w:val="none"/>
          <w:lang w:val="en-US" w:eastAsia="zh-CN" w:bidi="ar-SA"/>
        </w:rPr>
        <w:t>分时段方式申报标的周期内拟买入或卖出的每日24小时分时交易电量和交易价格</w:t>
      </w:r>
      <w:r>
        <w:rPr>
          <w:rFonts w:ascii="仿宋_GB2312" w:eastAsia="仿宋_GB2312" w:hAnsi="仿宋_GB2312" w:cs="仿宋_GB2312" w:hint="eastAsia"/>
          <w:b w:val="0"/>
          <w:bCs w:val="0"/>
          <w:color w:val="auto"/>
          <w:w w:val="100"/>
          <w:kern w:val="0"/>
          <w:sz w:val="32"/>
          <w:szCs w:val="32"/>
          <w:highlight w:val="none"/>
          <w:lang w:val="en-US" w:eastAsia="zh-CN" w:bidi="ar"/>
        </w:rPr>
        <w:t>，申报电量要求详见【5.2.3可申报电量约束】，申报时间截止前可对已申报数据进行撤销。如有变化，以正式发布公告为准。</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kern w:val="0"/>
          <w:sz w:val="32"/>
          <w:szCs w:val="32"/>
          <w:highlight w:val="none"/>
          <w:lang w:val="en-US" w:eastAsia="zh-CN" w:bidi="ar"/>
        </w:rPr>
      </w:pPr>
      <w:r>
        <w:rPr>
          <w:rFonts w:ascii="仿宋_GB2312" w:eastAsia="仿宋_GB2312" w:hAnsi="仿宋_GB2312" w:cs="仿宋_GB2312" w:hint="eastAsia"/>
          <w:b w:val="0"/>
          <w:bCs w:val="0"/>
          <w:color w:val="auto"/>
          <w:w w:val="100"/>
          <w:kern w:val="0"/>
          <w:sz w:val="32"/>
          <w:szCs w:val="32"/>
          <w:highlight w:val="none"/>
          <w:lang w:val="en-US" w:eastAsia="zh-CN" w:bidi="ar"/>
        </w:rPr>
        <w:t>5.3.12.4.2滚动撮合交易：集中竞价阶段未成交的交易申报自动进入滚动撮合阶段。各交易单元在指定的交易时间内，通过交易平台</w:t>
      </w:r>
      <w:r>
        <w:rPr>
          <w:rFonts w:ascii="仿宋_GB2312" w:eastAsia="仿宋_GB2312" w:hAnsi="仿宋_GB2312" w:cs="仿宋_GB2312" w:hint="eastAsia"/>
          <w:color w:val="auto"/>
          <w:w w:val="100"/>
          <w:sz w:val="32"/>
          <w:szCs w:val="32"/>
          <w:highlight w:val="none"/>
          <w:lang w:val="en-US" w:eastAsia="zh-CN" w:bidi="ar-SA"/>
        </w:rPr>
        <w:t>采用分时段方式申报标的周期内拟买入或卖出的每日24小时分时交易电量和交易价格</w:t>
      </w:r>
      <w:r>
        <w:rPr>
          <w:rFonts w:ascii="仿宋_GB2312" w:eastAsia="仿宋_GB2312" w:hAnsi="仿宋_GB2312" w:cs="仿宋_GB2312" w:hint="eastAsia"/>
          <w:b w:val="0"/>
          <w:bCs w:val="0"/>
          <w:color w:val="auto"/>
          <w:w w:val="100"/>
          <w:kern w:val="0"/>
          <w:sz w:val="32"/>
          <w:szCs w:val="32"/>
          <w:highlight w:val="none"/>
          <w:lang w:val="en-US" w:eastAsia="zh-CN" w:bidi="ar"/>
        </w:rPr>
        <w:t>，申报电量要求详见【5.2.3可申报电量约束】。如有变化，以正式发布公告为准。</w:t>
      </w:r>
    </w:p>
    <w:p>
      <w:pPr>
        <w:pageBreakBefore w:val="0"/>
        <w:widowControl/>
        <w:kinsoku/>
        <w:wordWrap/>
        <w:overflowPunct/>
        <w:topLinePunct w:val="0"/>
        <w:autoSpaceDE/>
        <w:autoSpaceDN/>
        <w:bidi w:val="0"/>
        <w:adjustRightInd/>
        <w:spacing w:line="600" w:lineRule="exact"/>
        <w:ind w:left="0" w:right="0" w:firstLine="640" w:firstLineChars="200"/>
        <w:jc w:val="both"/>
        <w:textAlignment w:val="auto"/>
        <w:rPr>
          <w:rFonts w:ascii="仿宋_GB2312" w:eastAsia="仿宋_GB2312" w:hAnsi="仿宋_GB2312" w:cs="仿宋_GB2312" w:hint="eastAsia"/>
          <w:color w:val="auto"/>
          <w:w w:val="100"/>
          <w:sz w:val="32"/>
          <w:szCs w:val="32"/>
          <w:highlight w:val="none"/>
          <w:lang w:val="en-US" w:eastAsia="zh-CN" w:bidi="ar"/>
        </w:rPr>
      </w:pPr>
      <w:r>
        <w:rPr>
          <w:rFonts w:ascii="仿宋_GB2312" w:eastAsia="仿宋_GB2312" w:hAnsi="仿宋_GB2312" w:cs="仿宋_GB2312" w:hint="eastAsia"/>
          <w:b w:val="0"/>
          <w:bCs w:val="0"/>
          <w:color w:val="auto"/>
          <w:w w:val="100"/>
          <w:kern w:val="0"/>
          <w:sz w:val="32"/>
          <w:szCs w:val="32"/>
          <w:highlight w:val="none"/>
          <w:lang w:val="en-US" w:eastAsia="zh-CN" w:bidi="ar"/>
        </w:rPr>
        <w:t>5.3.12.4.3挂牌交易：挂牌方通过交易平台采用</w:t>
      </w:r>
      <w:r>
        <w:rPr>
          <w:rFonts w:ascii="仿宋_GB2312" w:eastAsia="仿宋_GB2312" w:hAnsi="仿宋_GB2312" w:cs="仿宋_GB2312" w:hint="eastAsia"/>
          <w:color w:val="auto"/>
          <w:w w:val="100"/>
          <w:sz w:val="32"/>
          <w:szCs w:val="32"/>
          <w:highlight w:val="none"/>
          <w:lang w:val="en-US" w:eastAsia="zh-CN" w:bidi="ar-SA"/>
        </w:rPr>
        <w:t>分时段方式申报标的周期内拟买入或卖出的每日24小时分时交易电量和交易价格</w:t>
      </w:r>
      <w:r>
        <w:rPr>
          <w:rFonts w:ascii="仿宋_GB2312" w:eastAsia="仿宋_GB2312" w:hAnsi="仿宋_GB2312" w:cs="仿宋_GB2312" w:hint="eastAsia"/>
          <w:b w:val="0"/>
          <w:bCs w:val="0"/>
          <w:color w:val="auto"/>
          <w:w w:val="100"/>
          <w:kern w:val="0"/>
          <w:sz w:val="32"/>
          <w:szCs w:val="32"/>
          <w:highlight w:val="none"/>
          <w:lang w:val="en-US" w:eastAsia="zh-CN" w:bidi="ar"/>
        </w:rPr>
        <w:t>对外发布要约，摘牌方自主选择已经挂牌的电量进行摘牌，可全部摘牌也可选择部分摘牌，挂牌及摘牌电量要求详见【5.2.3可申报电量约束】。</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5.3.12.5无约束出清</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5.3.12.5.1集中竞价交易出清：按照【4.2.2.1集中竞价】采用高低匹配出清，各时段成交电量和成交价格为该时段的出清电量和出清电价。结算参考点价格选用原则详见【3.3.6结算参考点】。</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kern w:val="0"/>
          <w:sz w:val="32"/>
          <w:szCs w:val="32"/>
          <w:highlight w:val="none"/>
          <w:lang w:val="en-US" w:eastAsia="zh-CN" w:bidi="ar"/>
        </w:rPr>
      </w:pPr>
      <w:r>
        <w:rPr>
          <w:rFonts w:ascii="仿宋_GB2312" w:eastAsia="仿宋_GB2312" w:hAnsi="仿宋_GB2312" w:cs="仿宋_GB2312" w:hint="eastAsia"/>
          <w:b w:val="0"/>
          <w:bCs w:val="0"/>
          <w:color w:val="auto"/>
          <w:w w:val="100"/>
          <w:kern w:val="0"/>
          <w:sz w:val="32"/>
          <w:szCs w:val="32"/>
          <w:highlight w:val="none"/>
          <w:lang w:val="en-US" w:eastAsia="zh-CN" w:bidi="ar"/>
        </w:rPr>
        <w:t>5.3.12.5.2滚动撮合交易出清：交易平台按照时间优先、价格优先的原则进行滚动撮合成交，撮合规则按【4.2.2.2滚动撮合】执行，各时段成交电量和成交价格为该时段的出清电量和出清电价。结算参考点价格选用原则详见【3.3.6结算参考点】。</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kern w:val="0"/>
          <w:sz w:val="32"/>
          <w:szCs w:val="32"/>
          <w:highlight w:val="none"/>
          <w:lang w:val="en-US" w:eastAsia="zh-CN" w:bidi="ar"/>
        </w:rPr>
      </w:pPr>
      <w:r>
        <w:rPr>
          <w:rFonts w:ascii="仿宋_GB2312" w:eastAsia="仿宋_GB2312" w:hAnsi="仿宋_GB2312" w:cs="仿宋_GB2312" w:hint="eastAsia"/>
          <w:b w:val="0"/>
          <w:bCs w:val="0"/>
          <w:color w:val="auto"/>
          <w:w w:val="100"/>
          <w:kern w:val="0"/>
          <w:sz w:val="32"/>
          <w:szCs w:val="32"/>
          <w:highlight w:val="none"/>
          <w:lang w:val="en-US" w:eastAsia="zh-CN" w:bidi="ar"/>
        </w:rPr>
        <w:t>5.3.12.5.2挂牌交易出清：采用即时出清或统一出清方式。各时段成交电量为该时段的出清电量，挂牌方发布要约的价格即为该笔成交对的成交价格。结算参考点价格选用原则详见【3.3.6结算参考点】。</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2"/>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5.3.13多日电网企业代理购电挂牌交易</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5.4.13.1参与的市场成员</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已完成交易平台注册且符合准入条件的发电企业、电网企业（含增量配电网企业）。</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5.3.13.2交易周期及标的</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多日电网企业代理购电挂牌交易的标的物为</w:t>
      </w:r>
      <w:r>
        <w:rPr>
          <w:rFonts w:ascii="仿宋_GB2312" w:eastAsia="仿宋_GB2312" w:hAnsi="仿宋_GB2312" w:cs="仿宋_GB2312" w:hint="eastAsia"/>
          <w:color w:val="auto"/>
          <w:w w:val="100"/>
          <w:sz w:val="32"/>
          <w:szCs w:val="32"/>
          <w:highlight w:val="none"/>
          <w:lang w:val="en-US" w:eastAsia="zh-CN" w:bidi="ar-SA"/>
        </w:rPr>
        <w:t>交易周期内电网企业代理购电每日24小时分时电量</w:t>
      </w:r>
      <w:r>
        <w:rPr>
          <w:rFonts w:ascii="仿宋_GB2312" w:eastAsia="仿宋_GB2312" w:hAnsi="仿宋_GB2312" w:cs="仿宋_GB2312" w:hint="eastAsia"/>
          <w:b w:val="0"/>
          <w:bCs w:val="0"/>
          <w:color w:val="auto"/>
          <w:w w:val="100"/>
          <w:kern w:val="0"/>
          <w:sz w:val="32"/>
          <w:szCs w:val="32"/>
          <w:highlight w:val="none"/>
          <w:lang w:val="en-US" w:eastAsia="zh-CN" w:bidi="ar"/>
        </w:rPr>
        <w:t>，具体交易周期以海南电力交易中心发布的公告为准。</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5.3.13.3交易公告发布</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交易中心发布多日电网企业代理购电挂牌交易公告，内容包括但不限于：</w:t>
      </w:r>
      <w:r>
        <w:rPr>
          <w:rFonts w:ascii="仿宋_GB2312" w:eastAsia="仿宋_GB2312" w:hAnsi="仿宋_GB2312" w:cs="仿宋_GB2312" w:hint="eastAsia"/>
          <w:color w:val="auto"/>
          <w:sz w:val="32"/>
          <w:szCs w:val="32"/>
          <w:highlight w:val="none"/>
          <w:lang w:eastAsia="zh-CN" w:bidi="ar"/>
        </w:rPr>
        <w:t>交易品种、交易主体、交易方式、交易申报时间、交易执行时间、交易参数、出清方式、交易约束信息、交易操作说明、其他准备信息等</w:t>
      </w:r>
      <w:r>
        <w:rPr>
          <w:rFonts w:ascii="仿宋_GB2312" w:eastAsia="仿宋_GB2312" w:hAnsi="仿宋_GB2312" w:cs="仿宋_GB2312" w:hint="eastAsia"/>
          <w:b w:val="0"/>
          <w:bCs w:val="0"/>
          <w:color w:val="auto"/>
          <w:w w:val="100"/>
          <w:kern w:val="0"/>
          <w:sz w:val="32"/>
          <w:szCs w:val="32"/>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ascii="仿宋_GB2312" w:eastAsia="仿宋_GB2312" w:hAnsi="仿宋_GB2312" w:cs="仿宋_GB2312" w:hint="eastAsia"/>
          <w:color w:val="auto"/>
          <w:sz w:val="32"/>
          <w:szCs w:val="32"/>
          <w:highlight w:val="none"/>
          <w:lang w:eastAsia="zh-CN" w:bidi="ar"/>
        </w:rPr>
      </w:pPr>
      <w:r>
        <w:rPr>
          <w:rFonts w:ascii="仿宋_GB2312" w:eastAsia="仿宋_GB2312" w:hAnsi="仿宋_GB2312" w:cs="仿宋_GB2312" w:hint="eastAsia"/>
          <w:b w:val="0"/>
          <w:bCs w:val="0"/>
          <w:color w:val="auto"/>
          <w:w w:val="100"/>
          <w:kern w:val="0"/>
          <w:sz w:val="32"/>
          <w:szCs w:val="32"/>
          <w:highlight w:val="none"/>
          <w:lang w:val="en-US" w:eastAsia="zh-CN" w:bidi="ar"/>
        </w:rPr>
        <w:t>5.3.13.4</w:t>
      </w:r>
      <w:r>
        <w:rPr>
          <w:rFonts w:ascii="仿宋_GB2312" w:eastAsia="仿宋_GB2312" w:hAnsi="仿宋_GB2312" w:cs="仿宋_GB2312" w:hint="eastAsia"/>
          <w:color w:val="auto"/>
          <w:sz w:val="32"/>
          <w:szCs w:val="32"/>
          <w:highlight w:val="none"/>
          <w:lang w:eastAsia="zh-CN" w:bidi="ar"/>
        </w:rPr>
        <w:t>交易价格</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color w:val="auto"/>
          <w:w w:val="100"/>
          <w:sz w:val="32"/>
          <w:szCs w:val="32"/>
          <w:highlight w:val="none"/>
          <w:lang w:val="en-US" w:eastAsia="zh-CN" w:bidi="ar-SA"/>
        </w:rPr>
      </w:pPr>
      <w:r>
        <w:rPr>
          <w:rFonts w:ascii="仿宋_GB2312" w:eastAsia="仿宋_GB2312" w:hAnsi="仿宋_GB2312" w:cs="仿宋_GB2312" w:hint="eastAsia"/>
          <w:color w:val="auto"/>
          <w:w w:val="100"/>
          <w:sz w:val="32"/>
          <w:szCs w:val="32"/>
          <w:highlight w:val="none"/>
          <w:lang w:val="en-US" w:eastAsia="zh-CN" w:bidi="ar-SA"/>
        </w:rPr>
        <w:t>多日电网企业代理购电挂牌交易采用统一价格，价格按照最近一次多日集中竞价交易加权平均价执行。</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5.3.13.5交易申报</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kern w:val="0"/>
          <w:sz w:val="32"/>
          <w:szCs w:val="32"/>
          <w:highlight w:val="none"/>
          <w:lang w:val="en-US" w:eastAsia="zh-CN" w:bidi="ar"/>
        </w:rPr>
      </w:pPr>
      <w:r>
        <w:rPr>
          <w:rFonts w:ascii="仿宋_GB2312" w:eastAsia="仿宋_GB2312" w:hAnsi="仿宋_GB2312" w:cs="仿宋_GB2312" w:hint="eastAsia"/>
          <w:b w:val="0"/>
          <w:bCs w:val="0"/>
          <w:color w:val="auto"/>
          <w:w w:val="100"/>
          <w:kern w:val="0"/>
          <w:sz w:val="32"/>
          <w:szCs w:val="32"/>
          <w:highlight w:val="none"/>
          <w:lang w:val="en-US" w:eastAsia="zh-CN" w:bidi="ar"/>
        </w:rPr>
        <w:t>多日电网企业代理购电挂牌交易采用</w:t>
      </w:r>
      <w:r>
        <w:rPr>
          <w:rFonts w:ascii="仿宋_GB2312" w:eastAsia="仿宋_GB2312" w:hAnsi="仿宋_GB2312" w:cs="仿宋_GB2312" w:hint="eastAsia"/>
          <w:color w:val="auto"/>
          <w:w w:val="100"/>
          <w:sz w:val="32"/>
          <w:szCs w:val="32"/>
          <w:highlight w:val="none"/>
          <w:lang w:val="en-US" w:eastAsia="zh-CN" w:bidi="ar-SA"/>
        </w:rPr>
        <w:t>分时段方式申报拟买入或卖出的每日24小时分时交易电量和交易价格，</w:t>
      </w:r>
      <w:r>
        <w:rPr>
          <w:rFonts w:ascii="仿宋_GB2312" w:eastAsia="仿宋_GB2312" w:hAnsi="仿宋_GB2312" w:cs="仿宋_GB2312" w:hint="eastAsia"/>
          <w:b w:val="0"/>
          <w:bCs w:val="0"/>
          <w:color w:val="auto"/>
          <w:w w:val="100"/>
          <w:kern w:val="0"/>
          <w:sz w:val="32"/>
          <w:szCs w:val="32"/>
          <w:highlight w:val="none"/>
          <w:lang w:val="en-US" w:eastAsia="zh-CN" w:bidi="ar"/>
        </w:rPr>
        <w:t>对外发布要约，摘牌方自主选择已经挂牌的电量进行摘牌，可全部摘牌也可选择部分摘牌。申报电量要求详见【5.2.3可申报电量约束】。如有变化，以正式发布公告为准。</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ascii="仿宋_GB2312" w:eastAsia="仿宋_GB2312" w:hAnsi="仿宋_GB2312" w:cs="仿宋_GB2312" w:hint="eastAsia"/>
          <w:b w:val="0"/>
          <w:bCs w:val="0"/>
          <w:color w:val="auto"/>
          <w:w w:val="100"/>
          <w:sz w:val="32"/>
          <w:szCs w:val="32"/>
          <w:highlight w:val="none"/>
        </w:rPr>
      </w:pPr>
      <w:r>
        <w:rPr>
          <w:rFonts w:ascii="仿宋_GB2312" w:eastAsia="仿宋_GB2312" w:hAnsi="仿宋_GB2312" w:cs="仿宋_GB2312" w:hint="eastAsia"/>
          <w:b w:val="0"/>
          <w:bCs w:val="0"/>
          <w:color w:val="auto"/>
          <w:w w:val="100"/>
          <w:kern w:val="0"/>
          <w:sz w:val="32"/>
          <w:szCs w:val="32"/>
          <w:highlight w:val="none"/>
          <w:lang w:val="en-US" w:eastAsia="zh-CN" w:bidi="ar"/>
        </w:rPr>
        <w:t>5.3.13.6无约束出清</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eastAsia="仿宋_GB2312" w:hAnsi="仿宋_GB2312" w:cs="仿宋_GB2312" w:hint="eastAsia"/>
          <w:b w:val="0"/>
          <w:bCs w:val="0"/>
          <w:color w:val="auto"/>
          <w:w w:val="100"/>
          <w:kern w:val="0"/>
          <w:sz w:val="32"/>
          <w:szCs w:val="32"/>
          <w:highlight w:val="none"/>
          <w:lang w:val="en-US" w:eastAsia="zh-CN" w:bidi="ar"/>
        </w:rPr>
      </w:pPr>
      <w:r>
        <w:rPr>
          <w:rFonts w:ascii="仿宋_GB2312" w:eastAsia="仿宋_GB2312" w:hAnsi="仿宋_GB2312" w:cs="仿宋_GB2312" w:hint="eastAsia"/>
          <w:b w:val="0"/>
          <w:bCs w:val="0"/>
          <w:color w:val="auto"/>
          <w:w w:val="100"/>
          <w:kern w:val="0"/>
          <w:sz w:val="32"/>
          <w:szCs w:val="32"/>
          <w:highlight w:val="none"/>
          <w:lang w:val="en-US" w:eastAsia="zh-CN" w:bidi="ar"/>
        </w:rPr>
        <w:t>多日电网企业代理购电挂牌交易出清规则按【5.3.8月度电网代理购电挂牌交易】中分时段申报方式的出清规则执行。</w:t>
      </w:r>
    </w:p>
    <w:p>
      <w:pPr>
        <w:pStyle w:val="BodyText"/>
        <w:pageBreakBefore w:val="0"/>
        <w:tabs>
          <w:tab w:val="left" w:pos="659"/>
        </w:tabs>
        <w:kinsoku/>
        <w:wordWrap/>
        <w:overflowPunct/>
        <w:topLinePunct w:val="0"/>
        <w:autoSpaceDE/>
        <w:autoSpaceDN/>
        <w:bidi w:val="0"/>
        <w:adjustRightInd/>
        <w:spacing w:line="560" w:lineRule="exact"/>
        <w:ind w:left="0" w:right="0" w:firstLine="640" w:firstLineChars="200"/>
        <w:jc w:val="both"/>
        <w:textAlignment w:val="auto"/>
        <w:outlineLvl w:val="0"/>
        <w:rPr>
          <w:rFonts w:ascii="黑体" w:eastAsia="黑体" w:hAnsi="黑体" w:cs="黑体" w:hint="eastAsia"/>
          <w:b w:val="0"/>
          <w:bCs w:val="0"/>
          <w:color w:val="auto"/>
          <w:w w:val="100"/>
          <w:highlight w:val="none"/>
          <w:lang w:eastAsia="zh-CN"/>
        </w:rPr>
      </w:pPr>
      <w:bookmarkStart w:id="19" w:name="_Toc29775"/>
      <w:r>
        <w:rPr>
          <w:rFonts w:ascii="黑体" w:eastAsia="黑体" w:hAnsi="黑体" w:cs="黑体" w:hint="eastAsia"/>
          <w:b w:val="0"/>
          <w:bCs w:val="0"/>
          <w:color w:val="auto"/>
          <w:w w:val="100"/>
          <w:highlight w:val="none"/>
          <w:lang w:eastAsia="zh-CN"/>
        </w:rPr>
        <w:t>6.交易计划校核</w:t>
      </w:r>
      <w:bookmarkEnd w:id="19"/>
    </w:p>
    <w:p>
      <w:pPr>
        <w:pStyle w:val="BodyText"/>
        <w:spacing w:line="560" w:lineRule="exact"/>
        <w:ind w:firstLine="640" w:firstLineChars="200"/>
        <w:jc w:val="both"/>
        <w:outlineLvl w:val="9"/>
        <w:rPr>
          <w:rFonts w:ascii="仿宋_GB2312" w:eastAsia="仿宋_GB2312" w:hAnsi="仿宋_GB2312" w:cs="仿宋_GB2312" w:hint="eastAsia"/>
          <w:b w:val="0"/>
          <w:color w:val="auto"/>
          <w:sz w:val="32"/>
          <w:szCs w:val="32"/>
          <w:highlight w:val="none"/>
          <w:lang w:val="en-US" w:eastAsia="zh-CN"/>
        </w:rPr>
      </w:pPr>
      <w:r>
        <w:rPr>
          <w:rFonts w:ascii="仿宋_GB2312" w:eastAsia="仿宋_GB2312" w:hAnsi="仿宋_GB2312" w:cs="仿宋_GB2312" w:hint="eastAsia"/>
          <w:b w:val="0"/>
          <w:bCs w:val="0"/>
          <w:color w:val="auto"/>
          <w:w w:val="100"/>
          <w:highlight w:val="none"/>
          <w:lang w:val="en-US" w:eastAsia="zh-CN"/>
        </w:rPr>
        <w:t>6.1</w:t>
      </w:r>
      <w:r>
        <w:rPr>
          <w:rFonts w:ascii="仿宋_GB2312" w:eastAsia="仿宋_GB2312" w:hAnsi="仿宋_GB2312" w:cs="仿宋_GB2312" w:hint="eastAsia"/>
          <w:color w:val="auto"/>
          <w:highlight w:val="none"/>
          <w:lang w:val="en-US" w:eastAsia="zh-CN"/>
        </w:rPr>
        <w:t>海南</w:t>
      </w:r>
      <w:r>
        <w:rPr>
          <w:rFonts w:ascii="仿宋_GB2312" w:eastAsia="仿宋_GB2312" w:hAnsi="仿宋_GB2312" w:cs="仿宋_GB2312" w:hint="eastAsia"/>
          <w:color w:val="auto"/>
          <w:highlight w:val="none"/>
          <w:lang w:eastAsia="zh-CN"/>
        </w:rPr>
        <w:t>电力交易中心在每次中长期交易</w:t>
      </w:r>
      <w:r>
        <w:rPr>
          <w:rFonts w:ascii="仿宋_GB2312" w:eastAsia="仿宋_GB2312" w:hAnsi="仿宋_GB2312" w:cs="仿宋_GB2312" w:hint="eastAsia"/>
          <w:b w:val="0"/>
          <w:color w:val="auto"/>
          <w:sz w:val="32"/>
          <w:szCs w:val="32"/>
          <w:highlight w:val="none"/>
          <w:lang w:val="en-US" w:eastAsia="zh-CN"/>
        </w:rPr>
        <w:t>出清时开展交易计划校核，校核完成即发布无约束出清结果，原则上不超过1个工作日。</w:t>
      </w:r>
    </w:p>
    <w:p>
      <w:pPr>
        <w:pStyle w:val="BodyText"/>
        <w:spacing w:line="560" w:lineRule="exact"/>
        <w:ind w:firstLine="640" w:firstLineChars="200"/>
        <w:jc w:val="both"/>
        <w:outlineLvl w:val="9"/>
        <w:rPr>
          <w:rFonts w:ascii="仿宋_GB2312" w:eastAsia="仿宋_GB2312" w:hAnsi="仿宋_GB2312" w:cs="仿宋_GB2312" w:hint="eastAsia"/>
          <w:color w:val="auto"/>
          <w:highlight w:val="none"/>
          <w:lang w:val="en-US" w:eastAsia="zh-CN"/>
        </w:rPr>
      </w:pPr>
      <w:r>
        <w:rPr>
          <w:rFonts w:ascii="仿宋_GB2312" w:eastAsia="仿宋_GB2312" w:hAnsi="仿宋_GB2312" w:cs="仿宋_GB2312" w:hint="eastAsia"/>
          <w:b w:val="0"/>
          <w:bCs w:val="0"/>
          <w:color w:val="auto"/>
          <w:w w:val="100"/>
          <w:highlight w:val="none"/>
          <w:lang w:val="en-US" w:eastAsia="zh-CN"/>
        </w:rPr>
        <w:t>6.2</w:t>
      </w:r>
      <w:r>
        <w:rPr>
          <w:rFonts w:ascii="仿宋_GB2312" w:eastAsia="仿宋_GB2312" w:hAnsi="仿宋_GB2312" w:cs="仿宋_GB2312" w:hint="eastAsia"/>
          <w:b w:val="0"/>
          <w:bCs w:val="0"/>
          <w:color w:val="auto"/>
          <w:w w:val="100"/>
          <w:highlight w:val="none"/>
          <w:lang w:eastAsia="zh-CN"/>
        </w:rPr>
        <w:t>交易计划校核内容</w:t>
      </w:r>
      <w:r>
        <w:rPr>
          <w:rFonts w:ascii="仿宋_GB2312" w:eastAsia="仿宋_GB2312" w:hAnsi="仿宋_GB2312" w:cs="仿宋_GB2312" w:hint="eastAsia"/>
          <w:b w:val="0"/>
          <w:bCs w:val="0"/>
          <w:color w:val="auto"/>
          <w:w w:val="100"/>
          <w:highlight w:val="none"/>
          <w:lang w:val="en-US" w:eastAsia="zh-CN"/>
        </w:rPr>
        <w:t>包括电力电量校核和交易限价校核，其中交易电量校核</w:t>
      </w:r>
      <w:r>
        <w:rPr>
          <w:rFonts w:ascii="仿宋_GB2312" w:eastAsia="仿宋_GB2312" w:hAnsi="仿宋_GB2312" w:cs="仿宋_GB2312" w:hint="eastAsia"/>
          <w:color w:val="auto"/>
          <w:w w:val="100"/>
          <w:highlight w:val="none"/>
          <w:lang w:eastAsia="zh-CN"/>
        </w:rPr>
        <w:t>按【5.2交易约束条件】要求执行；</w:t>
      </w:r>
      <w:r>
        <w:rPr>
          <w:rFonts w:ascii="仿宋_GB2312" w:eastAsia="仿宋_GB2312" w:hAnsi="仿宋_GB2312" w:cs="仿宋_GB2312" w:hint="eastAsia"/>
          <w:color w:val="auto"/>
          <w:w w:val="100"/>
          <w:highlight w:val="none"/>
          <w:lang w:val="en-US" w:eastAsia="zh-CN"/>
        </w:rPr>
        <w:t>交易限价校核按照</w:t>
      </w:r>
      <w:r>
        <w:rPr>
          <w:rFonts w:ascii="仿宋_GB2312" w:eastAsia="仿宋_GB2312" w:hAnsi="仿宋_GB2312" w:cs="仿宋_GB2312" w:hint="eastAsia"/>
          <w:b w:val="0"/>
          <w:color w:val="auto"/>
          <w:sz w:val="32"/>
          <w:szCs w:val="32"/>
          <w:highlight w:val="none"/>
          <w:lang w:eastAsia="zh-CN"/>
        </w:rPr>
        <w:t>省内年度交易安排等相关政策执行。</w:t>
      </w:r>
    </w:p>
    <w:p>
      <w:pPr>
        <w:pStyle w:val="BodyText"/>
        <w:pageBreakBefore w:val="0"/>
        <w:tabs>
          <w:tab w:val="left" w:pos="659"/>
        </w:tabs>
        <w:kinsoku/>
        <w:wordWrap/>
        <w:overflowPunct/>
        <w:topLinePunct w:val="0"/>
        <w:autoSpaceDE/>
        <w:autoSpaceDN/>
        <w:bidi w:val="0"/>
        <w:adjustRightInd/>
        <w:spacing w:line="560" w:lineRule="exact"/>
        <w:ind w:left="0" w:right="0" w:firstLine="640" w:firstLineChars="200"/>
        <w:jc w:val="both"/>
        <w:textAlignment w:val="auto"/>
        <w:outlineLvl w:val="0"/>
        <w:rPr>
          <w:rFonts w:ascii="黑体" w:eastAsia="黑体" w:hAnsi="黑体" w:cs="黑体" w:hint="default"/>
          <w:b w:val="0"/>
          <w:bCs w:val="0"/>
          <w:color w:val="auto"/>
          <w:w w:val="100"/>
          <w:highlight w:val="none"/>
          <w:lang w:val="en-US" w:eastAsia="zh-CN"/>
        </w:rPr>
      </w:pPr>
      <w:bookmarkStart w:id="20" w:name="_Toc12838"/>
      <w:r>
        <w:rPr>
          <w:rFonts w:ascii="黑体" w:eastAsia="黑体" w:hAnsi="黑体" w:cs="黑体" w:hint="eastAsia"/>
          <w:b w:val="0"/>
          <w:bCs w:val="0"/>
          <w:color w:val="auto"/>
          <w:w w:val="100"/>
          <w:highlight w:val="none"/>
          <w:lang w:eastAsia="zh-CN"/>
        </w:rPr>
        <w:t>7.交易</w:t>
      </w:r>
      <w:r>
        <w:rPr>
          <w:rFonts w:ascii="黑体" w:eastAsia="黑体" w:hAnsi="黑体" w:cs="黑体" w:hint="eastAsia"/>
          <w:b w:val="0"/>
          <w:bCs w:val="0"/>
          <w:color w:val="auto"/>
          <w:w w:val="100"/>
          <w:highlight w:val="none"/>
          <w:lang w:val="en-US" w:eastAsia="zh-CN"/>
        </w:rPr>
        <w:t>结果发布与</w:t>
      </w:r>
      <w:bookmarkEnd w:id="20"/>
      <w:r>
        <w:rPr>
          <w:rFonts w:ascii="黑体" w:eastAsia="黑体" w:hAnsi="黑体" w:cs="黑体" w:hint="eastAsia"/>
          <w:b w:val="0"/>
          <w:bCs w:val="0"/>
          <w:color w:val="auto"/>
          <w:w w:val="100"/>
          <w:highlight w:val="none"/>
          <w:lang w:val="en-US" w:eastAsia="zh-CN"/>
        </w:rPr>
        <w:t>合同签订</w:t>
      </w:r>
    </w:p>
    <w:p>
      <w:pPr>
        <w:pStyle w:val="BodyText"/>
        <w:pageBreakBefore w:val="0"/>
        <w:kinsoku/>
        <w:wordWrap/>
        <w:overflowPunct/>
        <w:topLinePunct w:val="0"/>
        <w:autoSpaceDE/>
        <w:autoSpaceDN/>
        <w:bidi w:val="0"/>
        <w:adjustRightInd/>
        <w:spacing w:line="560" w:lineRule="exact"/>
        <w:ind w:left="0" w:right="0" w:firstLine="640" w:firstLineChars="200"/>
        <w:jc w:val="both"/>
        <w:textAlignment w:val="auto"/>
        <w:outlineLvl w:val="1"/>
        <w:rPr>
          <w:rFonts w:ascii="仿宋_GB2312" w:eastAsia="仿宋_GB2312" w:hAnsi="仿宋_GB2312" w:cs="仿宋_GB2312" w:hint="eastAsia"/>
          <w:color w:val="auto"/>
          <w:w w:val="100"/>
          <w:highlight w:val="none"/>
          <w:lang w:val="en-US" w:eastAsia="zh-CN"/>
        </w:rPr>
      </w:pPr>
      <w:r>
        <w:rPr>
          <w:rFonts w:ascii="仿宋_GB2312" w:eastAsia="仿宋_GB2312" w:hAnsi="仿宋_GB2312" w:cs="仿宋_GB2312" w:hint="eastAsia"/>
          <w:color w:val="auto"/>
          <w:w w:val="100"/>
          <w:highlight w:val="none"/>
          <w:lang w:eastAsia="zh-CN"/>
        </w:rPr>
        <w:t>7.1</w:t>
      </w:r>
      <w:r>
        <w:rPr>
          <w:rFonts w:ascii="仿宋_GB2312" w:eastAsia="仿宋_GB2312" w:hAnsi="仿宋_GB2312" w:cs="仿宋_GB2312" w:hint="eastAsia"/>
          <w:color w:val="auto"/>
          <w:w w:val="100"/>
          <w:highlight w:val="none"/>
          <w:lang w:val="en-US" w:eastAsia="zh-CN"/>
        </w:rPr>
        <w:t>交易结果发布</w:t>
      </w:r>
    </w:p>
    <w:p>
      <w:pPr>
        <w:pStyle w:val="BodyText"/>
        <w:spacing w:line="560" w:lineRule="exact"/>
        <w:ind w:firstLine="640" w:firstLineChars="200"/>
        <w:jc w:val="both"/>
        <w:outlineLvl w:val="9"/>
        <w:rPr>
          <w:rFonts w:ascii="仿宋_GB2312" w:eastAsia="仿宋_GB2312" w:hAnsi="仿宋_GB2312" w:cs="仿宋_GB2312" w:hint="eastAsia"/>
          <w:color w:val="auto"/>
          <w:highlight w:val="none"/>
          <w:lang w:val="en-US" w:eastAsia="zh-CN"/>
        </w:rPr>
      </w:pPr>
      <w:r>
        <w:rPr>
          <w:rFonts w:ascii="仿宋_GB2312" w:eastAsia="仿宋_GB2312" w:hAnsi="仿宋_GB2312" w:cs="仿宋_GB2312" w:hint="default"/>
          <w:color w:val="auto"/>
          <w:highlight w:val="none"/>
          <w:lang w:eastAsia="zh-CN"/>
        </w:rPr>
        <w:t>交易结果发布</w:t>
      </w:r>
      <w:r>
        <w:rPr>
          <w:rFonts w:ascii="仿宋_GB2312" w:eastAsia="仿宋_GB2312" w:hAnsi="仿宋_GB2312" w:cs="仿宋_GB2312" w:hint="eastAsia"/>
          <w:color w:val="auto"/>
          <w:highlight w:val="none"/>
          <w:lang w:val="en-US" w:eastAsia="zh-CN"/>
        </w:rPr>
        <w:t>后，</w:t>
      </w:r>
      <w:r>
        <w:rPr>
          <w:rFonts w:ascii="仿宋_GB2312" w:eastAsia="仿宋_GB2312" w:hAnsi="仿宋_GB2312" w:cs="仿宋_GB2312" w:hint="eastAsia"/>
          <w:color w:val="auto"/>
          <w:highlight w:val="none"/>
          <w:lang w:eastAsia="zh-CN"/>
        </w:rPr>
        <w:t>市场成员</w:t>
      </w:r>
      <w:r>
        <w:rPr>
          <w:rFonts w:ascii="仿宋_GB2312" w:eastAsia="仿宋_GB2312" w:hAnsi="仿宋_GB2312" w:cs="仿宋_GB2312" w:hint="default"/>
          <w:color w:val="auto"/>
          <w:highlight w:val="none"/>
          <w:lang w:eastAsia="zh-CN"/>
        </w:rPr>
        <w:t>对交易结果有异议的，应在交易结果发布1个工作日内向</w:t>
      </w:r>
      <w:r>
        <w:rPr>
          <w:rFonts w:ascii="仿宋_GB2312" w:eastAsia="仿宋_GB2312" w:hAnsi="仿宋_GB2312" w:cs="仿宋_GB2312" w:hint="eastAsia"/>
          <w:color w:val="auto"/>
          <w:highlight w:val="none"/>
          <w:lang w:val="en-US" w:eastAsia="zh-CN"/>
        </w:rPr>
        <w:t>海南</w:t>
      </w:r>
      <w:r>
        <w:rPr>
          <w:rFonts w:ascii="仿宋_GB2312" w:eastAsia="仿宋_GB2312" w:hAnsi="仿宋_GB2312" w:cs="仿宋_GB2312" w:hint="default"/>
          <w:color w:val="auto"/>
          <w:highlight w:val="none"/>
          <w:lang w:eastAsia="zh-CN"/>
        </w:rPr>
        <w:t>电力交易中心提出，由</w:t>
      </w:r>
      <w:r>
        <w:rPr>
          <w:rFonts w:ascii="仿宋_GB2312" w:eastAsia="仿宋_GB2312" w:hAnsi="仿宋_GB2312" w:cs="仿宋_GB2312" w:hint="eastAsia"/>
          <w:color w:val="auto"/>
          <w:highlight w:val="none"/>
          <w:lang w:val="en-US" w:eastAsia="zh-CN"/>
        </w:rPr>
        <w:t>相关</w:t>
      </w:r>
      <w:r>
        <w:rPr>
          <w:rFonts w:ascii="仿宋_GB2312" w:eastAsia="仿宋_GB2312" w:hAnsi="仿宋_GB2312" w:cs="仿宋_GB2312" w:hint="default"/>
          <w:color w:val="auto"/>
          <w:highlight w:val="none"/>
          <w:lang w:eastAsia="zh-CN"/>
        </w:rPr>
        <w:t>市场运营机构在1个工作日内给予解释。</w:t>
      </w:r>
    </w:p>
    <w:p>
      <w:pPr>
        <w:pStyle w:val="BodyText"/>
        <w:pageBreakBefore w:val="0"/>
        <w:kinsoku/>
        <w:wordWrap/>
        <w:overflowPunct/>
        <w:topLinePunct w:val="0"/>
        <w:autoSpaceDE/>
        <w:autoSpaceDN/>
        <w:bidi w:val="0"/>
        <w:adjustRightInd/>
        <w:spacing w:line="560" w:lineRule="exact"/>
        <w:ind w:left="0" w:right="0" w:firstLine="640" w:firstLineChars="200"/>
        <w:jc w:val="both"/>
        <w:textAlignment w:val="auto"/>
        <w:outlineLvl w:val="1"/>
        <w:rPr>
          <w:rFonts w:ascii="仿宋_GB2312" w:eastAsia="仿宋_GB2312" w:hAnsi="仿宋_GB2312" w:cs="仿宋_GB2312"/>
          <w:color w:val="auto"/>
          <w:spacing w:val="1"/>
          <w:w w:val="100"/>
          <w:highlight w:val="none"/>
          <w:lang w:eastAsia="zh-CN"/>
        </w:rPr>
      </w:pPr>
      <w:r>
        <w:rPr>
          <w:rFonts w:ascii="仿宋_GB2312" w:eastAsia="仿宋_GB2312" w:hAnsi="仿宋_GB2312" w:cs="仿宋_GB2312" w:hint="eastAsia"/>
          <w:color w:val="auto"/>
          <w:spacing w:val="1"/>
          <w:w w:val="100"/>
          <w:highlight w:val="none"/>
          <w:lang w:val="en-US" w:eastAsia="zh-CN"/>
        </w:rPr>
        <w:t>7.2</w:t>
      </w:r>
      <w:r>
        <w:rPr>
          <w:rFonts w:ascii="仿宋_GB2312" w:eastAsia="仿宋_GB2312" w:hAnsi="仿宋_GB2312" w:cs="仿宋_GB2312" w:hint="eastAsia"/>
          <w:color w:val="auto"/>
          <w:spacing w:val="1"/>
          <w:w w:val="100"/>
          <w:highlight w:val="none"/>
          <w:lang w:eastAsia="zh-CN"/>
        </w:rPr>
        <w:t>合同签订</w:t>
      </w:r>
    </w:p>
    <w:p>
      <w:pPr>
        <w:pStyle w:val="BodyText"/>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ascii="仿宋_GB2312" w:eastAsia="仿宋_GB2312" w:hAnsi="仿宋_GB2312" w:cs="仿宋_GB2312"/>
          <w:color w:val="auto"/>
          <w:w w:val="100"/>
          <w:highlight w:val="none"/>
          <w:lang w:eastAsia="zh-CN"/>
        </w:rPr>
      </w:pPr>
      <w:r>
        <w:rPr>
          <w:rFonts w:ascii="仿宋_GB2312" w:eastAsia="仿宋_GB2312" w:hAnsi="仿宋_GB2312" w:cs="仿宋_GB2312" w:hint="eastAsia"/>
          <w:color w:val="auto"/>
          <w:w w:val="100"/>
          <w:highlight w:val="none"/>
          <w:lang w:eastAsia="zh-CN"/>
        </w:rPr>
        <w:t>7.</w:t>
      </w:r>
      <w:r>
        <w:rPr>
          <w:rFonts w:ascii="仿宋_GB2312" w:eastAsia="仿宋_GB2312" w:hAnsi="仿宋_GB2312" w:cs="仿宋_GB2312" w:hint="eastAsia"/>
          <w:color w:val="auto"/>
          <w:w w:val="100"/>
          <w:highlight w:val="none"/>
          <w:lang w:val="en-US" w:eastAsia="zh-CN"/>
        </w:rPr>
        <w:t>2</w:t>
      </w:r>
      <w:r>
        <w:rPr>
          <w:rFonts w:ascii="仿宋_GB2312" w:eastAsia="仿宋_GB2312" w:hAnsi="仿宋_GB2312" w:cs="仿宋_GB2312" w:hint="eastAsia"/>
          <w:color w:val="auto"/>
          <w:w w:val="100"/>
          <w:highlight w:val="none"/>
          <w:lang w:eastAsia="zh-CN"/>
        </w:rPr>
        <w:t>.1海南电力交易中心将交易系统出具的</w:t>
      </w:r>
      <w:r>
        <w:rPr>
          <w:rFonts w:ascii="仿宋_GB2312" w:eastAsia="仿宋_GB2312" w:hAnsi="仿宋_GB2312" w:cs="仿宋_GB2312" w:hint="eastAsia"/>
          <w:color w:val="auto"/>
          <w:w w:val="100"/>
          <w:highlight w:val="none"/>
          <w:lang w:val="en-US" w:eastAsia="zh-CN"/>
        </w:rPr>
        <w:t>电力中长期交易合同</w:t>
      </w:r>
      <w:r>
        <w:rPr>
          <w:rFonts w:ascii="仿宋_GB2312" w:eastAsia="仿宋_GB2312" w:hAnsi="仿宋_GB2312" w:cs="仿宋_GB2312" w:hint="eastAsia"/>
          <w:color w:val="auto"/>
          <w:w w:val="100"/>
          <w:highlight w:val="none"/>
          <w:lang w:eastAsia="zh-CN"/>
        </w:rPr>
        <w:t>、交易结果通知书等视同为电子合同。电子合同与纸质合同具备同等效力。</w:t>
      </w:r>
    </w:p>
    <w:p>
      <w:pPr>
        <w:pStyle w:val="BodyText"/>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ascii="仿宋_GB2312" w:eastAsia="仿宋_GB2312" w:hAnsi="仿宋_GB2312" w:cs="仿宋_GB2312"/>
          <w:color w:val="auto"/>
          <w:w w:val="100"/>
          <w:highlight w:val="none"/>
          <w:lang w:eastAsia="zh-CN"/>
        </w:rPr>
      </w:pPr>
      <w:r>
        <w:rPr>
          <w:rFonts w:ascii="仿宋_GB2312" w:eastAsia="仿宋_GB2312" w:hAnsi="仿宋_GB2312" w:cs="仿宋_GB2312" w:hint="eastAsia"/>
          <w:color w:val="auto"/>
          <w:w w:val="100"/>
          <w:highlight w:val="none"/>
          <w:lang w:eastAsia="zh-CN"/>
        </w:rPr>
        <w:t>7.</w:t>
      </w:r>
      <w:r>
        <w:rPr>
          <w:rFonts w:ascii="仿宋_GB2312" w:eastAsia="仿宋_GB2312" w:hAnsi="仿宋_GB2312" w:cs="仿宋_GB2312" w:hint="eastAsia"/>
          <w:color w:val="auto"/>
          <w:w w:val="100"/>
          <w:highlight w:val="none"/>
          <w:lang w:val="en-US" w:eastAsia="zh-CN"/>
        </w:rPr>
        <w:t>2</w:t>
      </w:r>
      <w:r>
        <w:rPr>
          <w:rFonts w:ascii="仿宋_GB2312" w:eastAsia="仿宋_GB2312" w:hAnsi="仿宋_GB2312" w:cs="仿宋_GB2312" w:hint="eastAsia"/>
          <w:color w:val="auto"/>
          <w:w w:val="100"/>
          <w:highlight w:val="none"/>
          <w:lang w:eastAsia="zh-CN"/>
        </w:rPr>
        <w:t>.2交易合同应明确买方、卖方、输电方、电量（电力）、电价、执行周期、电量分时曲线、结算参考点</w:t>
      </w:r>
      <w:r>
        <w:rPr>
          <w:rFonts w:ascii="仿宋_GB2312" w:eastAsia="仿宋_GB2312" w:hAnsi="仿宋_GB2312" w:cs="仿宋_GB2312" w:hint="eastAsia"/>
          <w:color w:val="auto"/>
          <w:w w:val="100"/>
          <w:highlight w:val="none"/>
          <w:lang w:val="en-US" w:eastAsia="zh-CN"/>
        </w:rPr>
        <w:t>价格</w:t>
      </w:r>
      <w:r>
        <w:rPr>
          <w:rFonts w:ascii="仿宋_GB2312" w:eastAsia="仿宋_GB2312" w:hAnsi="仿宋_GB2312" w:cs="仿宋_GB2312" w:hint="eastAsia"/>
          <w:color w:val="auto"/>
          <w:w w:val="100"/>
          <w:highlight w:val="none"/>
          <w:lang w:eastAsia="zh-CN"/>
        </w:rPr>
        <w:t>等内容。</w:t>
      </w:r>
    </w:p>
    <w:p>
      <w:pPr>
        <w:pStyle w:val="BodyText"/>
        <w:pageBreakBefore w:val="0"/>
        <w:tabs>
          <w:tab w:val="left" w:pos="1380"/>
        </w:tabs>
        <w:kinsoku/>
        <w:wordWrap/>
        <w:overflowPunct/>
        <w:topLinePunct w:val="0"/>
        <w:autoSpaceDE/>
        <w:autoSpaceDN/>
        <w:bidi w:val="0"/>
        <w:adjustRightInd/>
        <w:spacing w:line="560" w:lineRule="exact"/>
        <w:ind w:left="0" w:right="0" w:firstLine="640" w:firstLineChars="200"/>
        <w:jc w:val="both"/>
        <w:textAlignment w:val="auto"/>
        <w:outlineLvl w:val="0"/>
        <w:rPr>
          <w:rFonts w:ascii="黑体" w:eastAsia="黑体" w:hAnsi="黑体" w:cs="黑体" w:hint="eastAsia"/>
          <w:b w:val="0"/>
          <w:bCs w:val="0"/>
          <w:color w:val="auto"/>
          <w:w w:val="100"/>
          <w:highlight w:val="none"/>
          <w:lang w:eastAsia="zh-CN"/>
        </w:rPr>
      </w:pPr>
      <w:bookmarkStart w:id="21" w:name="_Toc22335"/>
      <w:r>
        <w:rPr>
          <w:rFonts w:ascii="黑体" w:eastAsia="黑体" w:hAnsi="黑体" w:cs="黑体" w:hint="eastAsia"/>
          <w:b w:val="0"/>
          <w:bCs w:val="0"/>
          <w:color w:val="auto"/>
          <w:w w:val="100"/>
          <w:highlight w:val="none"/>
          <w:lang w:eastAsia="zh-CN"/>
        </w:rPr>
        <w:t>8.</w:t>
      </w:r>
      <w:bookmarkEnd w:id="21"/>
      <w:bookmarkStart w:id="22" w:name="_Toc18120"/>
      <w:r>
        <w:rPr>
          <w:rFonts w:ascii="黑体" w:eastAsia="黑体" w:hAnsi="黑体" w:cs="黑体" w:hint="eastAsia"/>
          <w:b w:val="0"/>
          <w:bCs w:val="0"/>
          <w:color w:val="auto"/>
          <w:w w:val="100"/>
          <w:highlight w:val="none"/>
          <w:lang w:eastAsia="zh-CN"/>
        </w:rPr>
        <w:t>附则</w:t>
      </w:r>
      <w:bookmarkEnd w:id="22"/>
    </w:p>
    <w:p>
      <w:pPr>
        <w:pStyle w:val="BodyText"/>
        <w:pageBreakBefore w:val="0"/>
        <w:kinsoku/>
        <w:wordWrap/>
        <w:overflowPunct/>
        <w:topLinePunct w:val="0"/>
        <w:autoSpaceDE/>
        <w:autoSpaceDN/>
        <w:bidi w:val="0"/>
        <w:adjustRightInd/>
        <w:spacing w:line="560" w:lineRule="exact"/>
        <w:ind w:left="0" w:right="0" w:firstLine="640" w:firstLineChars="200"/>
        <w:jc w:val="both"/>
        <w:textAlignment w:val="auto"/>
        <w:outlineLvl w:val="1"/>
        <w:rPr>
          <w:rFonts w:ascii="仿宋_GB2312" w:eastAsia="仿宋_GB2312" w:hAnsi="仿宋_GB2312" w:cs="仿宋_GB2312"/>
          <w:color w:val="auto"/>
          <w:w w:val="100"/>
          <w:highlight w:val="none"/>
          <w:lang w:eastAsia="zh-CN"/>
        </w:rPr>
      </w:pPr>
      <w:r>
        <w:rPr>
          <w:rFonts w:ascii="仿宋_GB2312" w:eastAsia="仿宋_GB2312" w:hAnsi="仿宋_GB2312" w:cs="仿宋_GB2312" w:hint="eastAsia"/>
          <w:color w:val="auto"/>
          <w:w w:val="100"/>
          <w:highlight w:val="none"/>
          <w:lang w:val="en-US" w:eastAsia="zh-CN"/>
        </w:rPr>
        <w:t>8</w:t>
      </w:r>
      <w:r>
        <w:rPr>
          <w:rFonts w:ascii="仿宋_GB2312" w:eastAsia="仿宋_GB2312" w:hAnsi="仿宋_GB2312" w:cs="仿宋_GB2312" w:hint="eastAsia"/>
          <w:color w:val="auto"/>
          <w:w w:val="100"/>
          <w:highlight w:val="none"/>
          <w:lang w:eastAsia="zh-CN"/>
        </w:rPr>
        <w:t>.1</w:t>
      </w:r>
      <w:r>
        <w:rPr>
          <w:rFonts w:ascii="仿宋_GB2312" w:eastAsia="仿宋_GB2312" w:hAnsi="仿宋_GB2312" w:cs="仿宋_GB2312" w:hint="eastAsia"/>
          <w:color w:val="auto"/>
          <w:w w:val="100"/>
          <w:highlight w:val="none"/>
          <w:lang w:val="en-US" w:eastAsia="zh-CN"/>
        </w:rPr>
        <w:t>本实施细则由海南电力交易中心制定并解释，经海南电力市场管理委员会审议通过后，报国家能源局南方监管局和省级能源主管部门审定执行</w:t>
      </w:r>
      <w:r>
        <w:rPr>
          <w:rFonts w:ascii="仿宋_GB2312" w:eastAsia="仿宋_GB2312" w:hAnsi="仿宋_GB2312" w:cs="仿宋_GB2312" w:hint="eastAsia"/>
          <w:color w:val="auto"/>
          <w:w w:val="100"/>
          <w:highlight w:val="none"/>
          <w:lang w:eastAsia="zh-CN"/>
        </w:rPr>
        <w:t>。</w:t>
      </w:r>
    </w:p>
    <w:p>
      <w:pPr>
        <w:pStyle w:val="BodyText"/>
        <w:spacing w:line="560" w:lineRule="exact"/>
        <w:ind w:firstLine="640" w:firstLineChars="200"/>
        <w:jc w:val="both"/>
        <w:outlineLvl w:val="9"/>
        <w:rPr>
          <w:rFonts w:ascii="仿宋_GB2312" w:eastAsia="仿宋_GB2312" w:hAnsi="仿宋_GB2312" w:cs="仿宋_GB2312" w:hint="eastAsia"/>
          <w:color w:val="auto"/>
          <w:w w:val="100"/>
          <w:highlight w:val="none"/>
          <w:lang w:eastAsia="zh-CN"/>
        </w:rPr>
      </w:pPr>
      <w:r>
        <w:rPr>
          <w:rFonts w:ascii="仿宋_GB2312" w:eastAsia="仿宋_GB2312" w:hAnsi="仿宋_GB2312" w:cs="仿宋_GB2312" w:hint="eastAsia"/>
          <w:color w:val="auto"/>
          <w:w w:val="100"/>
          <w:highlight w:val="none"/>
          <w:lang w:val="en-US" w:eastAsia="zh-CN"/>
        </w:rPr>
        <w:t>8</w:t>
      </w:r>
      <w:r>
        <w:rPr>
          <w:rFonts w:ascii="仿宋_GB2312" w:eastAsia="仿宋_GB2312" w:hAnsi="仿宋_GB2312" w:cs="仿宋_GB2312" w:hint="eastAsia"/>
          <w:color w:val="auto"/>
          <w:w w:val="100"/>
          <w:highlight w:val="none"/>
          <w:lang w:eastAsia="zh-CN"/>
        </w:rPr>
        <w:t>.</w:t>
      </w:r>
      <w:r>
        <w:rPr>
          <w:rFonts w:ascii="仿宋_GB2312" w:eastAsia="仿宋_GB2312" w:hAnsi="仿宋_GB2312" w:cs="仿宋_GB2312" w:hint="eastAsia"/>
          <w:color w:val="auto"/>
          <w:w w:val="100"/>
          <w:highlight w:val="none"/>
          <w:lang w:val="en-US" w:eastAsia="zh-CN"/>
        </w:rPr>
        <w:t>2本实施细则自印发日的次月1日起生效，</w:t>
      </w:r>
      <w:r>
        <w:rPr>
          <w:rFonts w:ascii="仿宋_GB2312" w:eastAsia="仿宋_GB2312" w:hAnsi="仿宋_GB2312" w:cs="仿宋_GB2312" w:hint="eastAsia"/>
          <w:color w:val="auto"/>
          <w:highlight w:val="none"/>
          <w:lang w:eastAsia="zh-CN"/>
        </w:rPr>
        <w:t>国家或省内出台相关政策规则后，若有新规的从其规定</w:t>
      </w:r>
      <w:r>
        <w:rPr>
          <w:rFonts w:ascii="仿宋_GB2312" w:eastAsia="仿宋_GB2312" w:hAnsi="仿宋_GB2312" w:cs="仿宋_GB2312" w:hint="eastAsia"/>
          <w:color w:val="auto"/>
          <w:w w:val="100"/>
          <w:highlight w:val="none"/>
          <w:lang w:eastAsia="zh-CN"/>
        </w:rPr>
        <w:t>。</w:t>
      </w:r>
    </w:p>
    <w:p>
      <w:pPr>
        <w:pStyle w:val="BodyText"/>
        <w:spacing w:line="560" w:lineRule="exact"/>
        <w:ind w:firstLine="640" w:firstLineChars="200"/>
        <w:jc w:val="both"/>
        <w:outlineLvl w:val="9"/>
        <w:rPr>
          <w:rFonts w:ascii="仿宋_GB2312" w:eastAsia="仿宋_GB2312" w:hAnsi="仿宋_GB2312" w:cs="仿宋_GB2312" w:hint="eastAsia"/>
          <w:color w:val="auto"/>
          <w:highlight w:val="none"/>
          <w:lang w:val="en-US" w:eastAsia="zh-CN"/>
        </w:rPr>
      </w:pPr>
      <w:r>
        <w:rPr>
          <w:rFonts w:ascii="仿宋_GB2312" w:eastAsia="仿宋_GB2312" w:hAnsi="仿宋_GB2312" w:cs="仿宋_GB2312" w:hint="eastAsia"/>
          <w:i w:val="0"/>
          <w:iCs w:val="0"/>
          <w:caps w:val="0"/>
          <w:color w:val="auto"/>
          <w:spacing w:val="0"/>
          <w:sz w:val="32"/>
          <w:szCs w:val="32"/>
          <w:highlight w:val="none"/>
          <w:shd w:val="clear" w:color="auto" w:fill="auto"/>
          <w:lang w:val="en-US" w:eastAsia="zh-CN"/>
        </w:rPr>
        <w:t>8.3</w:t>
      </w:r>
      <w:r>
        <w:rPr>
          <w:rFonts w:ascii="仿宋_GB2312" w:eastAsia="仿宋_GB2312" w:hAnsi="仿宋_GB2312" w:cs="仿宋_GB2312" w:hint="eastAsia"/>
          <w:i w:val="0"/>
          <w:iCs w:val="0"/>
          <w:caps w:val="0"/>
          <w:color w:val="auto"/>
          <w:spacing w:val="0"/>
          <w:sz w:val="32"/>
          <w:szCs w:val="32"/>
          <w:highlight w:val="none"/>
          <w:shd w:val="clear" w:color="auto" w:fill="auto"/>
          <w:lang w:eastAsia="zh-CN"/>
        </w:rPr>
        <w:t>本细则印发实施后，原《海南电力市场中长期电能量交易实施细则（2025年V1.0版）》（海南交易〔2025〕65号）同时废止。</w:t>
      </w:r>
    </w:p>
    <w:p>
      <w:pPr>
        <w:keepNext w:val="0"/>
        <w:keepLines w:val="0"/>
        <w:pageBreakBefore w:val="0"/>
        <w:widowControl w:val="0"/>
        <w:kinsoku/>
        <w:wordWrap/>
        <w:overflowPunct/>
        <w:topLinePunct w:val="0"/>
        <w:autoSpaceDE/>
        <w:autoSpaceDN/>
        <w:bidi w:val="0"/>
        <w:adjustRightInd/>
        <w:snapToGrid/>
        <w:spacing w:line="560" w:lineRule="exact"/>
        <w:ind w:left="0" w:right="0" w:leftChars="0" w:firstLineChars="0"/>
        <w:jc w:val="both"/>
        <w:textAlignment w:val="auto"/>
        <w:outlineLvl w:val="9"/>
        <w:rPr>
          <w:rFonts w:ascii="仿宋_GB2312" w:eastAsia="仿宋_GB2312" w:hAnsi="仿宋_GB2312" w:cs="仿宋_GB2312" w:hint="eastAsia"/>
          <w:color w:val="auto"/>
          <w:w w:val="100"/>
          <w:highlight w:val="none"/>
          <w:lang w:eastAsia="zh-CN"/>
        </w:rPr>
      </w:pPr>
      <w:r>
        <w:rPr>
          <w:rFonts w:ascii="仿宋_GB2312" w:eastAsia="仿宋_GB2312" w:hAnsi="仿宋_GB2312" w:cs="仿宋_GB2312" w:hint="eastAsia"/>
          <w:color w:val="auto"/>
          <w:w w:val="100"/>
          <w:highlight w:val="none"/>
          <w:lang w:eastAsia="zh-CN"/>
        </w:rPr>
        <w:br w:type="page"/>
      </w:r>
    </w:p>
    <w:p>
      <w:pPr>
        <w:pStyle w:val="BodyText"/>
        <w:pageBreakBefore w:val="0"/>
        <w:tabs>
          <w:tab w:val="left" w:pos="659"/>
        </w:tabs>
        <w:kinsoku/>
        <w:wordWrap/>
        <w:overflowPunct/>
        <w:topLinePunct w:val="0"/>
        <w:autoSpaceDE/>
        <w:autoSpaceDN/>
        <w:bidi w:val="0"/>
        <w:adjustRightInd/>
        <w:spacing w:line="560" w:lineRule="exact"/>
        <w:ind w:left="0" w:right="0" w:firstLine="640" w:firstLineChars="200"/>
        <w:jc w:val="both"/>
        <w:textAlignment w:val="auto"/>
        <w:outlineLvl w:val="0"/>
        <w:rPr>
          <w:rFonts w:ascii="黑体" w:eastAsia="黑体" w:hAnsi="黑体" w:cs="黑体" w:hint="eastAsia"/>
          <w:b w:val="0"/>
          <w:bCs w:val="0"/>
          <w:color w:val="auto"/>
          <w:w w:val="100"/>
          <w:highlight w:val="none"/>
          <w:lang w:eastAsia="zh-CN"/>
        </w:rPr>
      </w:pPr>
      <w:bookmarkStart w:id="23" w:name="_Toc11171"/>
      <w:r>
        <w:rPr>
          <w:rFonts w:ascii="黑体" w:eastAsia="黑体" w:hAnsi="黑体" w:cs="黑体" w:hint="eastAsia"/>
          <w:b w:val="0"/>
          <w:bCs w:val="0"/>
          <w:color w:val="auto"/>
          <w:w w:val="100"/>
          <w:highlight w:val="none"/>
          <w:lang w:val="en-US" w:eastAsia="zh-CN"/>
        </w:rPr>
        <w:t>附录：</w:t>
      </w:r>
      <w:bookmarkStart w:id="24" w:name="3术语定义"/>
      <w:bookmarkEnd w:id="24"/>
      <w:bookmarkStart w:id="25" w:name="_bookmark2"/>
      <w:bookmarkEnd w:id="25"/>
    </w:p>
    <w:p>
      <w:pPr>
        <w:pStyle w:val="BodyText"/>
        <w:pageBreakBefore w:val="0"/>
        <w:tabs>
          <w:tab w:val="left" w:pos="659"/>
        </w:tabs>
        <w:kinsoku/>
        <w:wordWrap/>
        <w:overflowPunct/>
        <w:topLinePunct w:val="0"/>
        <w:autoSpaceDE/>
        <w:autoSpaceDN/>
        <w:bidi w:val="0"/>
        <w:adjustRightInd/>
        <w:spacing w:line="560" w:lineRule="exact"/>
        <w:ind w:left="0" w:right="0" w:firstLine="640" w:firstLineChars="200"/>
        <w:jc w:val="both"/>
        <w:textAlignment w:val="auto"/>
        <w:outlineLvl w:val="0"/>
        <w:rPr>
          <w:rFonts w:ascii="仿宋_GB2312" w:eastAsia="仿宋_GB2312" w:hAnsi="仿宋_GB2312" w:cs="仿宋_GB2312" w:hint="eastAsia"/>
          <w:b w:val="0"/>
          <w:bCs w:val="0"/>
          <w:color w:val="auto"/>
          <w:spacing w:val="1"/>
          <w:w w:val="100"/>
          <w:highlight w:val="none"/>
          <w:lang w:eastAsia="zh-CN"/>
        </w:rPr>
      </w:pPr>
    </w:p>
    <w:p>
      <w:pPr>
        <w:pStyle w:val="BodyText"/>
        <w:pageBreakBefore w:val="0"/>
        <w:tabs>
          <w:tab w:val="left" w:pos="659"/>
        </w:tabs>
        <w:kinsoku/>
        <w:wordWrap/>
        <w:overflowPunct/>
        <w:topLinePunct w:val="0"/>
        <w:autoSpaceDE/>
        <w:autoSpaceDN/>
        <w:bidi w:val="0"/>
        <w:adjustRightInd/>
        <w:spacing w:line="560" w:lineRule="exact"/>
        <w:ind w:left="0" w:right="0" w:firstLine="880" w:firstLineChars="200"/>
        <w:jc w:val="center"/>
        <w:textAlignment w:val="auto"/>
        <w:outlineLvl w:val="0"/>
        <w:rPr>
          <w:rFonts w:ascii="黑体" w:eastAsia="黑体" w:hAnsi="黑体" w:cs="黑体" w:hint="eastAsia"/>
          <w:b w:val="0"/>
          <w:bCs w:val="0"/>
          <w:color w:val="auto"/>
          <w:w w:val="100"/>
          <w:sz w:val="44"/>
          <w:szCs w:val="44"/>
          <w:highlight w:val="none"/>
          <w:lang w:eastAsia="zh-CN"/>
        </w:rPr>
      </w:pPr>
      <w:r>
        <w:rPr>
          <w:rFonts w:ascii="黑体" w:eastAsia="黑体" w:hAnsi="黑体" w:cs="黑体" w:hint="eastAsia"/>
          <w:b w:val="0"/>
          <w:bCs w:val="0"/>
          <w:color w:val="auto"/>
          <w:spacing w:val="1"/>
          <w:w w:val="100"/>
          <w:sz w:val="44"/>
          <w:szCs w:val="44"/>
          <w:highlight w:val="none"/>
          <w:lang w:eastAsia="zh-CN"/>
        </w:rPr>
        <w:t>术语定</w:t>
      </w:r>
      <w:r>
        <w:rPr>
          <w:rFonts w:ascii="黑体" w:eastAsia="黑体" w:hAnsi="黑体" w:cs="黑体" w:hint="eastAsia"/>
          <w:b w:val="0"/>
          <w:bCs w:val="0"/>
          <w:color w:val="auto"/>
          <w:w w:val="100"/>
          <w:sz w:val="44"/>
          <w:szCs w:val="44"/>
          <w:highlight w:val="none"/>
          <w:lang w:eastAsia="zh-CN"/>
        </w:rPr>
        <w:t>义</w:t>
      </w:r>
      <w:bookmarkEnd w:id="23"/>
    </w:p>
    <w:p>
      <w:pPr>
        <w:pStyle w:val="BodyText"/>
        <w:pageBreakBefore w:val="0"/>
        <w:tabs>
          <w:tab w:val="left" w:pos="659"/>
        </w:tabs>
        <w:kinsoku/>
        <w:wordWrap/>
        <w:overflowPunct/>
        <w:topLinePunct w:val="0"/>
        <w:autoSpaceDE/>
        <w:autoSpaceDN/>
        <w:bidi w:val="0"/>
        <w:adjustRightInd/>
        <w:spacing w:line="560" w:lineRule="exact"/>
        <w:ind w:left="0" w:right="0" w:firstLine="640" w:firstLineChars="200"/>
        <w:jc w:val="center"/>
        <w:textAlignment w:val="auto"/>
        <w:outlineLvl w:val="0"/>
        <w:rPr>
          <w:rFonts w:ascii="黑体" w:eastAsia="黑体" w:hAnsi="黑体" w:cs="黑体" w:hint="eastAsia"/>
          <w:b w:val="0"/>
          <w:bCs w:val="0"/>
          <w:color w:val="auto"/>
          <w:w w:val="100"/>
          <w:highlight w:val="none"/>
          <w:lang w:eastAsia="zh-CN"/>
        </w:rPr>
      </w:pPr>
    </w:p>
    <w:p>
      <w:pPr>
        <w:pStyle w:val="BodyText"/>
        <w:pageBreakBefore w:val="0"/>
        <w:kinsoku/>
        <w:wordWrap/>
        <w:overflowPunct/>
        <w:topLinePunct w:val="0"/>
        <w:autoSpaceDE/>
        <w:autoSpaceDN/>
        <w:bidi w:val="0"/>
        <w:adjustRightInd/>
        <w:spacing w:line="560" w:lineRule="exact"/>
        <w:ind w:left="0" w:right="0" w:firstLine="640" w:firstLineChars="200"/>
        <w:jc w:val="both"/>
        <w:textAlignment w:val="auto"/>
        <w:rPr>
          <w:rFonts w:ascii="仿宋_GB2312" w:eastAsia="仿宋_GB2312" w:hAnsi="仿宋_GB2312" w:cs="仿宋_GB2312"/>
          <w:color w:val="auto"/>
          <w:w w:val="100"/>
          <w:highlight w:val="none"/>
          <w:lang w:eastAsia="zh-CN"/>
        </w:rPr>
      </w:pPr>
      <w:r>
        <w:rPr>
          <w:rFonts w:ascii="仿宋_GB2312" w:eastAsia="仿宋_GB2312" w:hAnsi="仿宋_GB2312" w:cs="仿宋_GB2312" w:hint="eastAsia"/>
          <w:color w:val="auto"/>
          <w:w w:val="100"/>
          <w:highlight w:val="none"/>
          <w:lang w:eastAsia="zh-CN"/>
        </w:rPr>
        <w:t>（</w:t>
      </w:r>
      <w:r>
        <w:rPr>
          <w:rFonts w:ascii="仿宋_GB2312" w:eastAsia="仿宋_GB2312" w:hAnsi="仿宋_GB2312" w:cs="仿宋_GB2312" w:hint="eastAsia"/>
          <w:color w:val="auto"/>
          <w:spacing w:val="-1"/>
          <w:w w:val="100"/>
          <w:highlight w:val="none"/>
          <w:lang w:eastAsia="zh-CN"/>
        </w:rPr>
        <w:t>1</w:t>
      </w:r>
      <w:r>
        <w:rPr>
          <w:rFonts w:ascii="仿宋_GB2312" w:eastAsia="仿宋_GB2312" w:hAnsi="仿宋_GB2312" w:cs="仿宋_GB2312" w:hint="eastAsia"/>
          <w:color w:val="auto"/>
          <w:w w:val="100"/>
          <w:highlight w:val="none"/>
          <w:lang w:eastAsia="zh-CN"/>
        </w:rPr>
        <w:t>）</w:t>
      </w:r>
      <w:r>
        <w:rPr>
          <w:rFonts w:ascii="仿宋_GB2312" w:eastAsia="仿宋_GB2312" w:hAnsi="仿宋_GB2312" w:cs="仿宋_GB2312" w:hint="eastAsia"/>
          <w:color w:val="auto"/>
          <w:spacing w:val="2"/>
          <w:w w:val="100"/>
          <w:highlight w:val="none"/>
          <w:lang w:eastAsia="zh-CN"/>
        </w:rPr>
        <w:t>中</w:t>
      </w:r>
      <w:r>
        <w:rPr>
          <w:rFonts w:ascii="仿宋_GB2312" w:eastAsia="仿宋_GB2312" w:hAnsi="仿宋_GB2312" w:cs="仿宋_GB2312" w:hint="eastAsia"/>
          <w:color w:val="auto"/>
          <w:w w:val="100"/>
          <w:highlight w:val="none"/>
          <w:lang w:eastAsia="zh-CN"/>
        </w:rPr>
        <w:t>长期</w:t>
      </w:r>
      <w:r>
        <w:rPr>
          <w:rFonts w:ascii="仿宋_GB2312" w:eastAsia="仿宋_GB2312" w:hAnsi="仿宋_GB2312" w:cs="仿宋_GB2312" w:hint="eastAsia"/>
          <w:color w:val="auto"/>
          <w:spacing w:val="2"/>
          <w:w w:val="100"/>
          <w:highlight w:val="none"/>
          <w:lang w:eastAsia="zh-CN"/>
        </w:rPr>
        <w:t>电</w:t>
      </w:r>
      <w:r>
        <w:rPr>
          <w:rFonts w:ascii="仿宋_GB2312" w:eastAsia="仿宋_GB2312" w:hAnsi="仿宋_GB2312" w:cs="仿宋_GB2312" w:hint="eastAsia"/>
          <w:color w:val="auto"/>
          <w:w w:val="100"/>
          <w:highlight w:val="none"/>
          <w:lang w:eastAsia="zh-CN"/>
        </w:rPr>
        <w:t>能</w:t>
      </w:r>
      <w:r>
        <w:rPr>
          <w:rFonts w:ascii="仿宋_GB2312" w:eastAsia="仿宋_GB2312" w:hAnsi="仿宋_GB2312" w:cs="仿宋_GB2312" w:hint="eastAsia"/>
          <w:color w:val="auto"/>
          <w:spacing w:val="2"/>
          <w:w w:val="100"/>
          <w:highlight w:val="none"/>
          <w:lang w:eastAsia="zh-CN"/>
        </w:rPr>
        <w:t>量</w:t>
      </w:r>
      <w:r>
        <w:rPr>
          <w:rFonts w:ascii="仿宋_GB2312" w:eastAsia="仿宋_GB2312" w:hAnsi="仿宋_GB2312" w:cs="仿宋_GB2312" w:hint="eastAsia"/>
          <w:color w:val="auto"/>
          <w:w w:val="100"/>
          <w:highlight w:val="none"/>
          <w:lang w:eastAsia="zh-CN"/>
        </w:rPr>
        <w:t>交易（简</w:t>
      </w:r>
      <w:r>
        <w:rPr>
          <w:rFonts w:ascii="仿宋_GB2312" w:eastAsia="仿宋_GB2312" w:hAnsi="仿宋_GB2312" w:cs="仿宋_GB2312" w:hint="eastAsia"/>
          <w:color w:val="auto"/>
          <w:spacing w:val="2"/>
          <w:w w:val="100"/>
          <w:highlight w:val="none"/>
          <w:lang w:eastAsia="zh-CN"/>
        </w:rPr>
        <w:t>称</w:t>
      </w:r>
      <w:r>
        <w:rPr>
          <w:rFonts w:ascii="仿宋_GB2312" w:eastAsia="仿宋_GB2312" w:hAnsi="仿宋_GB2312" w:cs="仿宋_GB2312" w:hint="eastAsia"/>
          <w:color w:val="auto"/>
          <w:w w:val="100"/>
          <w:highlight w:val="none"/>
          <w:lang w:eastAsia="zh-CN"/>
        </w:rPr>
        <w:t>中长</w:t>
      </w:r>
      <w:r>
        <w:rPr>
          <w:rFonts w:ascii="仿宋_GB2312" w:eastAsia="仿宋_GB2312" w:hAnsi="仿宋_GB2312" w:cs="仿宋_GB2312" w:hint="eastAsia"/>
          <w:color w:val="auto"/>
          <w:spacing w:val="2"/>
          <w:w w:val="100"/>
          <w:highlight w:val="none"/>
          <w:lang w:eastAsia="zh-CN"/>
        </w:rPr>
        <w:t>期</w:t>
      </w:r>
      <w:r>
        <w:rPr>
          <w:rFonts w:ascii="仿宋_GB2312" w:eastAsia="仿宋_GB2312" w:hAnsi="仿宋_GB2312" w:cs="仿宋_GB2312" w:hint="eastAsia"/>
          <w:color w:val="auto"/>
          <w:w w:val="100"/>
          <w:highlight w:val="none"/>
          <w:lang w:eastAsia="zh-CN"/>
        </w:rPr>
        <w:t>交易</w:t>
      </w:r>
      <w:r>
        <w:rPr>
          <w:rFonts w:ascii="仿宋_GB2312" w:eastAsia="仿宋_GB2312" w:hAnsi="仿宋_GB2312" w:cs="仿宋_GB2312" w:hint="eastAsia"/>
          <w:color w:val="auto"/>
          <w:spacing w:val="2"/>
          <w:w w:val="100"/>
          <w:highlight w:val="none"/>
          <w:lang w:eastAsia="zh-CN"/>
        </w:rPr>
        <w:t>）</w:t>
      </w:r>
      <w:r>
        <w:rPr>
          <w:rFonts w:ascii="仿宋_GB2312" w:eastAsia="仿宋_GB2312" w:hAnsi="仿宋_GB2312" w:cs="仿宋_GB2312" w:hint="eastAsia"/>
          <w:color w:val="auto"/>
          <w:w w:val="100"/>
          <w:highlight w:val="none"/>
          <w:lang w:eastAsia="zh-CN"/>
        </w:rPr>
        <w:t>，是指中</w:t>
      </w:r>
      <w:r>
        <w:rPr>
          <w:rFonts w:ascii="仿宋_GB2312" w:eastAsia="仿宋_GB2312" w:hAnsi="仿宋_GB2312" w:cs="仿宋_GB2312" w:hint="eastAsia"/>
          <w:color w:val="auto"/>
          <w:spacing w:val="1"/>
          <w:w w:val="100"/>
          <w:highlight w:val="none"/>
          <w:lang w:eastAsia="zh-CN"/>
        </w:rPr>
        <w:t>长</w:t>
      </w:r>
      <w:r>
        <w:rPr>
          <w:rFonts w:ascii="仿宋_GB2312" w:eastAsia="仿宋_GB2312" w:hAnsi="仿宋_GB2312" w:cs="仿宋_GB2312" w:hint="eastAsia"/>
          <w:color w:val="auto"/>
          <w:w w:val="100"/>
          <w:highlight w:val="none"/>
          <w:lang w:eastAsia="zh-CN"/>
        </w:rPr>
        <w:t>期电</w:t>
      </w:r>
      <w:r>
        <w:rPr>
          <w:rFonts w:ascii="仿宋_GB2312" w:eastAsia="仿宋_GB2312" w:hAnsi="仿宋_GB2312" w:cs="仿宋_GB2312" w:hint="eastAsia"/>
          <w:color w:val="auto"/>
          <w:spacing w:val="1"/>
          <w:w w:val="100"/>
          <w:highlight w:val="none"/>
          <w:lang w:eastAsia="zh-CN"/>
        </w:rPr>
        <w:t>能</w:t>
      </w:r>
      <w:r>
        <w:rPr>
          <w:rFonts w:ascii="仿宋_GB2312" w:eastAsia="仿宋_GB2312" w:hAnsi="仿宋_GB2312" w:cs="仿宋_GB2312" w:hint="eastAsia"/>
          <w:color w:val="auto"/>
          <w:w w:val="100"/>
          <w:highlight w:val="none"/>
          <w:lang w:eastAsia="zh-CN"/>
        </w:rPr>
        <w:t>量市</w:t>
      </w:r>
      <w:r>
        <w:rPr>
          <w:rFonts w:ascii="仿宋_GB2312" w:eastAsia="仿宋_GB2312" w:hAnsi="仿宋_GB2312" w:cs="仿宋_GB2312" w:hint="eastAsia"/>
          <w:color w:val="auto"/>
          <w:spacing w:val="-53"/>
          <w:w w:val="100"/>
          <w:highlight w:val="none"/>
          <w:lang w:eastAsia="zh-CN"/>
        </w:rPr>
        <w:t>场</w:t>
      </w:r>
      <w:r>
        <w:rPr>
          <w:rFonts w:ascii="仿宋_GB2312" w:eastAsia="仿宋_GB2312" w:hAnsi="仿宋_GB2312" w:cs="仿宋_GB2312" w:hint="eastAsia"/>
          <w:color w:val="auto"/>
          <w:w w:val="100"/>
          <w:highlight w:val="none"/>
          <w:lang w:eastAsia="zh-CN"/>
        </w:rPr>
        <w:t>（简称</w:t>
      </w:r>
      <w:r>
        <w:rPr>
          <w:rFonts w:ascii="仿宋_GB2312" w:eastAsia="仿宋_GB2312" w:hAnsi="仿宋_GB2312" w:cs="仿宋_GB2312" w:hint="eastAsia"/>
          <w:color w:val="auto"/>
          <w:spacing w:val="1"/>
          <w:w w:val="100"/>
          <w:highlight w:val="none"/>
          <w:lang w:eastAsia="zh-CN"/>
        </w:rPr>
        <w:t>中</w:t>
      </w:r>
      <w:r>
        <w:rPr>
          <w:rFonts w:ascii="仿宋_GB2312" w:eastAsia="仿宋_GB2312" w:hAnsi="仿宋_GB2312" w:cs="仿宋_GB2312" w:hint="eastAsia"/>
          <w:color w:val="auto"/>
          <w:w w:val="100"/>
          <w:highlight w:val="none"/>
          <w:lang w:eastAsia="zh-CN"/>
        </w:rPr>
        <w:t>长期</w:t>
      </w:r>
      <w:r>
        <w:rPr>
          <w:rFonts w:ascii="仿宋_GB2312" w:eastAsia="仿宋_GB2312" w:hAnsi="仿宋_GB2312" w:cs="仿宋_GB2312" w:hint="eastAsia"/>
          <w:color w:val="auto"/>
          <w:spacing w:val="1"/>
          <w:w w:val="100"/>
          <w:highlight w:val="none"/>
          <w:lang w:eastAsia="zh-CN"/>
        </w:rPr>
        <w:t>市</w:t>
      </w:r>
      <w:r>
        <w:rPr>
          <w:rFonts w:ascii="仿宋_GB2312" w:eastAsia="仿宋_GB2312" w:hAnsi="仿宋_GB2312" w:cs="仿宋_GB2312" w:hint="eastAsia"/>
          <w:color w:val="auto"/>
          <w:w w:val="100"/>
          <w:highlight w:val="none"/>
          <w:lang w:eastAsia="zh-CN"/>
        </w:rPr>
        <w:t>场</w:t>
      </w:r>
      <w:r>
        <w:rPr>
          <w:rFonts w:ascii="仿宋_GB2312" w:eastAsia="仿宋_GB2312" w:hAnsi="仿宋_GB2312" w:cs="仿宋_GB2312" w:hint="eastAsia"/>
          <w:color w:val="auto"/>
          <w:spacing w:val="-56"/>
          <w:w w:val="100"/>
          <w:highlight w:val="none"/>
          <w:lang w:eastAsia="zh-CN"/>
        </w:rPr>
        <w:t>）</w:t>
      </w:r>
      <w:r>
        <w:rPr>
          <w:rFonts w:ascii="仿宋_GB2312" w:eastAsia="仿宋_GB2312" w:hAnsi="仿宋_GB2312" w:cs="仿宋_GB2312" w:hint="eastAsia"/>
          <w:color w:val="auto"/>
          <w:spacing w:val="1"/>
          <w:w w:val="100"/>
          <w:highlight w:val="none"/>
          <w:lang w:eastAsia="zh-CN"/>
        </w:rPr>
        <w:t>中</w:t>
      </w:r>
      <w:r>
        <w:rPr>
          <w:rFonts w:ascii="仿宋_GB2312" w:eastAsia="仿宋_GB2312" w:hAnsi="仿宋_GB2312" w:cs="仿宋_GB2312" w:hint="eastAsia"/>
          <w:color w:val="auto"/>
          <w:w w:val="100"/>
          <w:highlight w:val="none"/>
          <w:lang w:eastAsia="zh-CN"/>
        </w:rPr>
        <w:t>以</w:t>
      </w:r>
      <w:r>
        <w:rPr>
          <w:rFonts w:ascii="仿宋_GB2312" w:eastAsia="仿宋_GB2312" w:hAnsi="仿宋_GB2312" w:cs="仿宋_GB2312" w:hint="eastAsia"/>
          <w:color w:val="auto"/>
          <w:spacing w:val="1"/>
          <w:w w:val="100"/>
          <w:highlight w:val="none"/>
          <w:lang w:eastAsia="zh-CN"/>
        </w:rPr>
        <w:t>多</w:t>
      </w:r>
      <w:r>
        <w:rPr>
          <w:rFonts w:ascii="仿宋_GB2312" w:eastAsia="仿宋_GB2312" w:hAnsi="仿宋_GB2312" w:cs="仿宋_GB2312" w:hint="eastAsia"/>
          <w:color w:val="auto"/>
          <w:w w:val="100"/>
          <w:highlight w:val="none"/>
          <w:lang w:eastAsia="zh-CN"/>
        </w:rPr>
        <w:t>年</w:t>
      </w:r>
      <w:r>
        <w:rPr>
          <w:rFonts w:ascii="仿宋_GB2312" w:eastAsia="仿宋_GB2312" w:hAnsi="仿宋_GB2312" w:cs="仿宋_GB2312" w:hint="eastAsia"/>
          <w:color w:val="auto"/>
          <w:spacing w:val="-56"/>
          <w:w w:val="100"/>
          <w:highlight w:val="none"/>
          <w:lang w:eastAsia="zh-CN"/>
        </w:rPr>
        <w:t>、</w:t>
      </w:r>
      <w:r>
        <w:rPr>
          <w:rFonts w:ascii="仿宋_GB2312" w:eastAsia="仿宋_GB2312" w:hAnsi="仿宋_GB2312" w:cs="仿宋_GB2312" w:hint="eastAsia"/>
          <w:color w:val="auto"/>
          <w:w w:val="100"/>
          <w:highlight w:val="none"/>
          <w:lang w:eastAsia="zh-CN"/>
        </w:rPr>
        <w:t>年、月（多月）</w:t>
      </w:r>
      <w:r>
        <w:rPr>
          <w:rFonts w:ascii="仿宋_GB2312" w:eastAsia="仿宋_GB2312" w:hAnsi="仿宋_GB2312" w:cs="仿宋_GB2312" w:hint="eastAsia"/>
          <w:color w:val="auto"/>
          <w:spacing w:val="-6"/>
          <w:w w:val="100"/>
          <w:highlight w:val="none"/>
          <w:lang w:eastAsia="zh-CN"/>
        </w:rPr>
        <w:t>、</w:t>
      </w:r>
      <w:r>
        <w:rPr>
          <w:rFonts w:ascii="仿宋_GB2312" w:eastAsia="仿宋_GB2312" w:hAnsi="仿宋_GB2312" w:cs="仿宋_GB2312" w:hint="eastAsia"/>
          <w:color w:val="auto"/>
          <w:w w:val="100"/>
          <w:highlight w:val="none"/>
          <w:lang w:eastAsia="zh-CN"/>
        </w:rPr>
        <w:t>周</w:t>
      </w:r>
      <w:r>
        <w:rPr>
          <w:rFonts w:ascii="仿宋_GB2312" w:eastAsia="仿宋_GB2312" w:hAnsi="仿宋_GB2312" w:cs="仿宋_GB2312" w:hint="eastAsia"/>
          <w:color w:val="auto"/>
          <w:spacing w:val="2"/>
          <w:w w:val="100"/>
          <w:highlight w:val="none"/>
          <w:lang w:eastAsia="zh-CN"/>
        </w:rPr>
        <w:t>及</w:t>
      </w:r>
      <w:r>
        <w:rPr>
          <w:rFonts w:ascii="仿宋_GB2312" w:eastAsia="仿宋_GB2312" w:hAnsi="仿宋_GB2312" w:cs="仿宋_GB2312" w:hint="eastAsia"/>
          <w:color w:val="auto"/>
          <w:w w:val="100"/>
          <w:highlight w:val="none"/>
          <w:lang w:eastAsia="zh-CN"/>
        </w:rPr>
        <w:t>日以</w:t>
      </w:r>
      <w:r>
        <w:rPr>
          <w:rFonts w:ascii="仿宋_GB2312" w:eastAsia="仿宋_GB2312" w:hAnsi="仿宋_GB2312" w:cs="仿宋_GB2312" w:hint="eastAsia"/>
          <w:color w:val="auto"/>
          <w:spacing w:val="2"/>
          <w:w w:val="100"/>
          <w:highlight w:val="none"/>
          <w:lang w:eastAsia="zh-CN"/>
        </w:rPr>
        <w:t>上</w:t>
      </w:r>
      <w:r>
        <w:rPr>
          <w:rFonts w:ascii="仿宋_GB2312" w:eastAsia="仿宋_GB2312" w:hAnsi="仿宋_GB2312" w:cs="仿宋_GB2312" w:hint="eastAsia"/>
          <w:color w:val="auto"/>
          <w:w w:val="100"/>
          <w:highlight w:val="none"/>
          <w:lang w:eastAsia="zh-CN"/>
        </w:rPr>
        <w:t>为交</w:t>
      </w:r>
      <w:r>
        <w:rPr>
          <w:rFonts w:ascii="仿宋_GB2312" w:eastAsia="仿宋_GB2312" w:hAnsi="仿宋_GB2312" w:cs="仿宋_GB2312" w:hint="eastAsia"/>
          <w:color w:val="auto"/>
          <w:spacing w:val="2"/>
          <w:w w:val="100"/>
          <w:highlight w:val="none"/>
          <w:lang w:eastAsia="zh-CN"/>
        </w:rPr>
        <w:t>易</w:t>
      </w:r>
      <w:r>
        <w:rPr>
          <w:rFonts w:ascii="仿宋_GB2312" w:eastAsia="仿宋_GB2312" w:hAnsi="仿宋_GB2312" w:cs="仿宋_GB2312" w:hint="eastAsia"/>
          <w:color w:val="auto"/>
          <w:w w:val="100"/>
          <w:highlight w:val="none"/>
          <w:lang w:eastAsia="zh-CN"/>
        </w:rPr>
        <w:t>组织</w:t>
      </w:r>
      <w:r>
        <w:rPr>
          <w:rFonts w:ascii="仿宋_GB2312" w:eastAsia="仿宋_GB2312" w:hAnsi="仿宋_GB2312" w:cs="仿宋_GB2312" w:hint="eastAsia"/>
          <w:color w:val="auto"/>
          <w:spacing w:val="2"/>
          <w:w w:val="100"/>
          <w:highlight w:val="none"/>
          <w:lang w:eastAsia="zh-CN"/>
        </w:rPr>
        <w:t>周</w:t>
      </w:r>
      <w:r>
        <w:rPr>
          <w:rFonts w:ascii="仿宋_GB2312" w:eastAsia="仿宋_GB2312" w:hAnsi="仿宋_GB2312" w:cs="仿宋_GB2312" w:hint="eastAsia"/>
          <w:color w:val="auto"/>
          <w:w w:val="100"/>
          <w:highlight w:val="none"/>
          <w:lang w:eastAsia="zh-CN"/>
        </w:rPr>
        <w:t>期</w:t>
      </w:r>
      <w:r>
        <w:rPr>
          <w:rFonts w:ascii="仿宋_GB2312" w:eastAsia="仿宋_GB2312" w:hAnsi="仿宋_GB2312" w:cs="仿宋_GB2312" w:hint="eastAsia"/>
          <w:color w:val="auto"/>
          <w:spacing w:val="-8"/>
          <w:w w:val="100"/>
          <w:highlight w:val="none"/>
          <w:lang w:eastAsia="zh-CN"/>
        </w:rPr>
        <w:t>，</w:t>
      </w:r>
      <w:r>
        <w:rPr>
          <w:rFonts w:ascii="仿宋_GB2312" w:eastAsia="仿宋_GB2312" w:hAnsi="仿宋_GB2312" w:cs="仿宋_GB2312" w:hint="eastAsia"/>
          <w:color w:val="auto"/>
          <w:w w:val="100"/>
          <w:highlight w:val="none"/>
          <w:lang w:eastAsia="zh-CN"/>
        </w:rPr>
        <w:t>以</w:t>
      </w:r>
      <w:r>
        <w:rPr>
          <w:rFonts w:ascii="仿宋_GB2312" w:eastAsia="仿宋_GB2312" w:hAnsi="仿宋_GB2312" w:cs="仿宋_GB2312" w:hint="eastAsia"/>
          <w:color w:val="auto"/>
          <w:spacing w:val="2"/>
          <w:w w:val="100"/>
          <w:highlight w:val="none"/>
          <w:lang w:eastAsia="zh-CN"/>
        </w:rPr>
        <w:t>电</w:t>
      </w:r>
      <w:r>
        <w:rPr>
          <w:rFonts w:ascii="仿宋_GB2312" w:eastAsia="仿宋_GB2312" w:hAnsi="仿宋_GB2312" w:cs="仿宋_GB2312" w:hint="eastAsia"/>
          <w:color w:val="auto"/>
          <w:w w:val="100"/>
          <w:highlight w:val="none"/>
          <w:lang w:eastAsia="zh-CN"/>
        </w:rPr>
        <w:t>能量</w:t>
      </w:r>
      <w:r>
        <w:rPr>
          <w:rFonts w:ascii="仿宋_GB2312" w:eastAsia="仿宋_GB2312" w:hAnsi="仿宋_GB2312" w:cs="仿宋_GB2312" w:hint="eastAsia"/>
          <w:color w:val="auto"/>
          <w:spacing w:val="2"/>
          <w:w w:val="100"/>
          <w:highlight w:val="none"/>
          <w:lang w:eastAsia="zh-CN"/>
        </w:rPr>
        <w:t>为</w:t>
      </w:r>
      <w:r>
        <w:rPr>
          <w:rFonts w:ascii="仿宋_GB2312" w:eastAsia="仿宋_GB2312" w:hAnsi="仿宋_GB2312" w:cs="仿宋_GB2312" w:hint="eastAsia"/>
          <w:color w:val="auto"/>
          <w:w w:val="100"/>
          <w:highlight w:val="none"/>
          <w:lang w:eastAsia="zh-CN"/>
        </w:rPr>
        <w:t>标的</w:t>
      </w:r>
      <w:r>
        <w:rPr>
          <w:rFonts w:ascii="仿宋_GB2312" w:eastAsia="仿宋_GB2312" w:hAnsi="仿宋_GB2312" w:cs="仿宋_GB2312" w:hint="eastAsia"/>
          <w:color w:val="auto"/>
          <w:spacing w:val="2"/>
          <w:w w:val="100"/>
          <w:highlight w:val="none"/>
          <w:lang w:eastAsia="zh-CN"/>
        </w:rPr>
        <w:t>开</w:t>
      </w:r>
      <w:r>
        <w:rPr>
          <w:rFonts w:ascii="仿宋_GB2312" w:eastAsia="仿宋_GB2312" w:hAnsi="仿宋_GB2312" w:cs="仿宋_GB2312" w:hint="eastAsia"/>
          <w:color w:val="auto"/>
          <w:w w:val="100"/>
          <w:highlight w:val="none"/>
          <w:lang w:eastAsia="zh-CN"/>
        </w:rPr>
        <w:t>展的市场</w:t>
      </w:r>
      <w:r>
        <w:rPr>
          <w:rFonts w:ascii="仿宋_GB2312" w:eastAsia="仿宋_GB2312" w:hAnsi="仿宋_GB2312" w:cs="仿宋_GB2312" w:hint="eastAsia"/>
          <w:color w:val="auto"/>
          <w:spacing w:val="2"/>
          <w:w w:val="100"/>
          <w:highlight w:val="none"/>
          <w:lang w:eastAsia="zh-CN"/>
        </w:rPr>
        <w:t>化</w:t>
      </w:r>
      <w:r>
        <w:rPr>
          <w:rFonts w:ascii="仿宋_GB2312" w:eastAsia="仿宋_GB2312" w:hAnsi="仿宋_GB2312" w:cs="仿宋_GB2312" w:hint="eastAsia"/>
          <w:color w:val="auto"/>
          <w:w w:val="100"/>
          <w:highlight w:val="none"/>
          <w:lang w:eastAsia="zh-CN"/>
        </w:rPr>
        <w:t>交易</w:t>
      </w:r>
      <w:r>
        <w:rPr>
          <w:rFonts w:ascii="仿宋_GB2312" w:eastAsia="仿宋_GB2312" w:hAnsi="仿宋_GB2312" w:cs="仿宋_GB2312" w:hint="eastAsia"/>
          <w:color w:val="auto"/>
          <w:spacing w:val="-6"/>
          <w:w w:val="100"/>
          <w:highlight w:val="none"/>
          <w:lang w:eastAsia="zh-CN"/>
        </w:rPr>
        <w:t>，</w:t>
      </w:r>
      <w:r>
        <w:rPr>
          <w:rFonts w:ascii="仿宋_GB2312" w:eastAsia="仿宋_GB2312" w:hAnsi="仿宋_GB2312" w:cs="仿宋_GB2312" w:hint="eastAsia"/>
          <w:color w:val="auto"/>
          <w:w w:val="100"/>
          <w:highlight w:val="none"/>
          <w:lang w:eastAsia="zh-CN"/>
        </w:rPr>
        <w:t>交</w:t>
      </w:r>
      <w:r>
        <w:rPr>
          <w:rFonts w:ascii="仿宋_GB2312" w:eastAsia="仿宋_GB2312" w:hAnsi="仿宋_GB2312" w:cs="仿宋_GB2312" w:hint="eastAsia"/>
          <w:color w:val="auto"/>
          <w:spacing w:val="2"/>
          <w:w w:val="100"/>
          <w:highlight w:val="none"/>
          <w:lang w:eastAsia="zh-CN"/>
        </w:rPr>
        <w:t>易</w:t>
      </w:r>
      <w:r>
        <w:rPr>
          <w:rFonts w:ascii="仿宋_GB2312" w:eastAsia="仿宋_GB2312" w:hAnsi="仿宋_GB2312" w:cs="仿宋_GB2312" w:hint="eastAsia"/>
          <w:color w:val="auto"/>
          <w:w w:val="100"/>
          <w:highlight w:val="none"/>
          <w:lang w:eastAsia="zh-CN"/>
        </w:rPr>
        <w:t>结果经交</w:t>
      </w:r>
      <w:r>
        <w:rPr>
          <w:rFonts w:ascii="仿宋_GB2312" w:eastAsia="仿宋_GB2312" w:hAnsi="仿宋_GB2312" w:cs="仿宋_GB2312" w:hint="eastAsia"/>
          <w:color w:val="auto"/>
          <w:spacing w:val="2"/>
          <w:w w:val="100"/>
          <w:highlight w:val="none"/>
          <w:lang w:eastAsia="zh-CN"/>
        </w:rPr>
        <w:t>易</w:t>
      </w:r>
      <w:r>
        <w:rPr>
          <w:rFonts w:ascii="仿宋_GB2312" w:eastAsia="仿宋_GB2312" w:hAnsi="仿宋_GB2312" w:cs="仿宋_GB2312" w:hint="eastAsia"/>
          <w:color w:val="auto"/>
          <w:w w:val="100"/>
          <w:highlight w:val="none"/>
          <w:lang w:eastAsia="zh-CN"/>
        </w:rPr>
        <w:t>校</w:t>
      </w:r>
      <w:r>
        <w:rPr>
          <w:rFonts w:ascii="仿宋_GB2312" w:eastAsia="仿宋_GB2312" w:hAnsi="仿宋_GB2312" w:cs="仿宋_GB2312" w:hint="eastAsia"/>
          <w:color w:val="auto"/>
          <w:spacing w:val="2"/>
          <w:w w:val="100"/>
          <w:highlight w:val="none"/>
          <w:lang w:eastAsia="zh-CN"/>
        </w:rPr>
        <w:t>核</w:t>
      </w:r>
      <w:r>
        <w:rPr>
          <w:rFonts w:ascii="仿宋_GB2312" w:eastAsia="仿宋_GB2312" w:hAnsi="仿宋_GB2312" w:cs="仿宋_GB2312" w:hint="eastAsia"/>
          <w:color w:val="auto"/>
          <w:w w:val="100"/>
          <w:highlight w:val="none"/>
          <w:lang w:eastAsia="zh-CN"/>
        </w:rPr>
        <w:t>通过后</w:t>
      </w:r>
      <w:r>
        <w:rPr>
          <w:rFonts w:ascii="仿宋_GB2312" w:eastAsia="仿宋_GB2312" w:hAnsi="仿宋_GB2312" w:cs="仿宋_GB2312" w:hint="eastAsia"/>
          <w:color w:val="auto"/>
          <w:spacing w:val="2"/>
          <w:w w:val="100"/>
          <w:highlight w:val="none"/>
          <w:lang w:eastAsia="zh-CN"/>
        </w:rPr>
        <w:t>生</w:t>
      </w:r>
      <w:r>
        <w:rPr>
          <w:rFonts w:ascii="仿宋_GB2312" w:eastAsia="仿宋_GB2312" w:hAnsi="仿宋_GB2312" w:cs="仿宋_GB2312" w:hint="eastAsia"/>
          <w:color w:val="auto"/>
          <w:w w:val="100"/>
          <w:highlight w:val="none"/>
          <w:lang w:eastAsia="zh-CN"/>
        </w:rPr>
        <w:t>效</w:t>
      </w:r>
      <w:r>
        <w:rPr>
          <w:rFonts w:ascii="仿宋_GB2312" w:eastAsia="仿宋_GB2312" w:hAnsi="仿宋_GB2312" w:cs="仿宋_GB2312" w:hint="eastAsia"/>
          <w:color w:val="auto"/>
          <w:spacing w:val="-6"/>
          <w:w w:val="100"/>
          <w:highlight w:val="none"/>
          <w:lang w:eastAsia="zh-CN"/>
        </w:rPr>
        <w:t>，</w:t>
      </w:r>
      <w:r>
        <w:rPr>
          <w:rFonts w:ascii="仿宋_GB2312" w:eastAsia="仿宋_GB2312" w:hAnsi="仿宋_GB2312" w:cs="仿宋_GB2312" w:hint="eastAsia"/>
          <w:color w:val="auto"/>
          <w:w w:val="100"/>
          <w:highlight w:val="none"/>
          <w:lang w:eastAsia="zh-CN"/>
        </w:rPr>
        <w:t>交</w:t>
      </w:r>
      <w:r>
        <w:rPr>
          <w:rFonts w:ascii="仿宋_GB2312" w:eastAsia="仿宋_GB2312" w:hAnsi="仿宋_GB2312" w:cs="仿宋_GB2312" w:hint="eastAsia"/>
          <w:color w:val="auto"/>
          <w:spacing w:val="2"/>
          <w:w w:val="100"/>
          <w:highlight w:val="none"/>
          <w:lang w:eastAsia="zh-CN"/>
        </w:rPr>
        <w:t>易</w:t>
      </w:r>
      <w:r>
        <w:rPr>
          <w:rFonts w:ascii="仿宋_GB2312" w:eastAsia="仿宋_GB2312" w:hAnsi="仿宋_GB2312" w:cs="仿宋_GB2312" w:hint="eastAsia"/>
          <w:color w:val="auto"/>
          <w:w w:val="100"/>
          <w:highlight w:val="none"/>
          <w:lang w:eastAsia="zh-CN"/>
        </w:rPr>
        <w:t>形成</w:t>
      </w:r>
      <w:r>
        <w:rPr>
          <w:rFonts w:ascii="仿宋_GB2312" w:eastAsia="仿宋_GB2312" w:hAnsi="仿宋_GB2312" w:cs="仿宋_GB2312" w:hint="eastAsia"/>
          <w:color w:val="auto"/>
          <w:spacing w:val="2"/>
          <w:w w:val="100"/>
          <w:highlight w:val="none"/>
          <w:lang w:eastAsia="zh-CN"/>
        </w:rPr>
        <w:t>的</w:t>
      </w:r>
      <w:r>
        <w:rPr>
          <w:rFonts w:ascii="仿宋_GB2312" w:eastAsia="仿宋_GB2312" w:hAnsi="仿宋_GB2312" w:cs="仿宋_GB2312" w:hint="eastAsia"/>
          <w:color w:val="auto"/>
          <w:w w:val="100"/>
          <w:highlight w:val="none"/>
          <w:lang w:eastAsia="zh-CN"/>
        </w:rPr>
        <w:t>市场</w:t>
      </w:r>
      <w:r>
        <w:rPr>
          <w:rFonts w:ascii="仿宋_GB2312" w:eastAsia="仿宋_GB2312" w:hAnsi="仿宋_GB2312" w:cs="仿宋_GB2312" w:hint="eastAsia"/>
          <w:color w:val="auto"/>
          <w:spacing w:val="2"/>
          <w:w w:val="100"/>
          <w:highlight w:val="none"/>
          <w:lang w:eastAsia="zh-CN"/>
        </w:rPr>
        <w:t>合同</w:t>
      </w:r>
      <w:r>
        <w:rPr>
          <w:rFonts w:ascii="仿宋_GB2312" w:eastAsia="仿宋_GB2312" w:hAnsi="仿宋_GB2312" w:cs="仿宋_GB2312" w:hint="eastAsia"/>
          <w:color w:val="auto"/>
          <w:w w:val="100"/>
          <w:highlight w:val="none"/>
          <w:lang w:eastAsia="zh-CN"/>
        </w:rPr>
        <w:t>和电</w:t>
      </w:r>
      <w:r>
        <w:rPr>
          <w:rFonts w:ascii="仿宋_GB2312" w:eastAsia="仿宋_GB2312" w:hAnsi="仿宋_GB2312" w:cs="仿宋_GB2312" w:hint="eastAsia"/>
          <w:color w:val="auto"/>
          <w:spacing w:val="2"/>
          <w:w w:val="100"/>
          <w:highlight w:val="none"/>
          <w:lang w:eastAsia="zh-CN"/>
        </w:rPr>
        <w:t>网</w:t>
      </w:r>
      <w:r>
        <w:rPr>
          <w:rFonts w:ascii="仿宋_GB2312" w:eastAsia="仿宋_GB2312" w:hAnsi="仿宋_GB2312" w:cs="仿宋_GB2312" w:hint="eastAsia"/>
          <w:color w:val="auto"/>
          <w:w w:val="100"/>
          <w:highlight w:val="none"/>
          <w:lang w:eastAsia="zh-CN"/>
        </w:rPr>
        <w:t>代购</w:t>
      </w:r>
      <w:r>
        <w:rPr>
          <w:rFonts w:ascii="仿宋_GB2312" w:eastAsia="仿宋_GB2312" w:hAnsi="仿宋_GB2312" w:cs="仿宋_GB2312" w:hint="eastAsia"/>
          <w:color w:val="auto"/>
          <w:spacing w:val="2"/>
          <w:w w:val="100"/>
          <w:highlight w:val="none"/>
          <w:lang w:eastAsia="zh-CN"/>
        </w:rPr>
        <w:t>市</w:t>
      </w:r>
      <w:r>
        <w:rPr>
          <w:rFonts w:ascii="仿宋_GB2312" w:eastAsia="仿宋_GB2312" w:hAnsi="仿宋_GB2312" w:cs="仿宋_GB2312" w:hint="eastAsia"/>
          <w:color w:val="auto"/>
          <w:w w:val="100"/>
          <w:highlight w:val="none"/>
          <w:lang w:eastAsia="zh-CN"/>
        </w:rPr>
        <w:t>场电</w:t>
      </w:r>
      <w:r>
        <w:rPr>
          <w:rFonts w:ascii="仿宋_GB2312" w:eastAsia="仿宋_GB2312" w:hAnsi="仿宋_GB2312" w:cs="仿宋_GB2312" w:hint="eastAsia"/>
          <w:color w:val="auto"/>
          <w:spacing w:val="2"/>
          <w:w w:val="100"/>
          <w:highlight w:val="none"/>
          <w:lang w:eastAsia="zh-CN"/>
        </w:rPr>
        <w:t>量</w:t>
      </w:r>
      <w:r>
        <w:rPr>
          <w:rFonts w:ascii="仿宋_GB2312" w:eastAsia="仿宋_GB2312" w:hAnsi="仿宋_GB2312" w:cs="仿宋_GB2312" w:hint="eastAsia"/>
          <w:color w:val="auto"/>
          <w:w w:val="100"/>
          <w:highlight w:val="none"/>
          <w:lang w:eastAsia="zh-CN"/>
        </w:rPr>
        <w:t>合同</w:t>
      </w:r>
      <w:r>
        <w:rPr>
          <w:rFonts w:ascii="仿宋_GB2312" w:eastAsia="仿宋_GB2312" w:hAnsi="仿宋_GB2312" w:cs="仿宋_GB2312" w:hint="eastAsia"/>
          <w:color w:val="auto"/>
          <w:spacing w:val="-16"/>
          <w:w w:val="100"/>
          <w:highlight w:val="none"/>
          <w:lang w:eastAsia="zh-CN"/>
        </w:rPr>
        <w:t>按</w:t>
      </w:r>
      <w:r>
        <w:rPr>
          <w:rFonts w:ascii="仿宋_GB2312" w:eastAsia="仿宋_GB2312" w:hAnsi="仿宋_GB2312" w:cs="仿宋_GB2312" w:hint="eastAsia"/>
          <w:color w:val="auto"/>
          <w:w w:val="100"/>
          <w:highlight w:val="none"/>
          <w:lang w:eastAsia="zh-CN"/>
        </w:rPr>
        <w:t>《海南电力</w:t>
      </w:r>
      <w:r>
        <w:rPr>
          <w:rFonts w:ascii="仿宋_GB2312" w:eastAsia="仿宋_GB2312" w:hAnsi="仿宋_GB2312" w:cs="仿宋_GB2312" w:hint="eastAsia"/>
          <w:color w:val="auto"/>
          <w:spacing w:val="2"/>
          <w:w w:val="100"/>
          <w:highlight w:val="none"/>
          <w:lang w:eastAsia="zh-CN"/>
        </w:rPr>
        <w:t>市</w:t>
      </w:r>
      <w:r>
        <w:rPr>
          <w:rFonts w:ascii="仿宋_GB2312" w:eastAsia="仿宋_GB2312" w:hAnsi="仿宋_GB2312" w:cs="仿宋_GB2312" w:hint="eastAsia"/>
          <w:color w:val="auto"/>
          <w:w w:val="100"/>
          <w:highlight w:val="none"/>
          <w:lang w:eastAsia="zh-CN"/>
        </w:rPr>
        <w:t>场结</w:t>
      </w:r>
      <w:r>
        <w:rPr>
          <w:rFonts w:ascii="仿宋_GB2312" w:eastAsia="仿宋_GB2312" w:hAnsi="仿宋_GB2312" w:cs="仿宋_GB2312" w:hint="eastAsia"/>
          <w:color w:val="auto"/>
          <w:spacing w:val="2"/>
          <w:w w:val="100"/>
          <w:highlight w:val="none"/>
          <w:lang w:eastAsia="zh-CN"/>
        </w:rPr>
        <w:t>算</w:t>
      </w:r>
      <w:r>
        <w:rPr>
          <w:rFonts w:ascii="仿宋_GB2312" w:eastAsia="仿宋_GB2312" w:hAnsi="仿宋_GB2312" w:cs="仿宋_GB2312" w:hint="eastAsia"/>
          <w:color w:val="auto"/>
          <w:w w:val="100"/>
          <w:highlight w:val="none"/>
          <w:lang w:eastAsia="zh-CN"/>
        </w:rPr>
        <w:t>实施细</w:t>
      </w:r>
      <w:r>
        <w:rPr>
          <w:rFonts w:ascii="仿宋_GB2312" w:eastAsia="仿宋_GB2312" w:hAnsi="仿宋_GB2312" w:cs="仿宋_GB2312" w:hint="eastAsia"/>
          <w:color w:val="auto"/>
          <w:spacing w:val="2"/>
          <w:w w:val="100"/>
          <w:highlight w:val="none"/>
          <w:lang w:eastAsia="zh-CN"/>
        </w:rPr>
        <w:t>则</w:t>
      </w:r>
      <w:r>
        <w:rPr>
          <w:rFonts w:ascii="仿宋_GB2312" w:eastAsia="仿宋_GB2312" w:hAnsi="仿宋_GB2312" w:cs="仿宋_GB2312" w:hint="eastAsia"/>
          <w:color w:val="auto"/>
          <w:w w:val="100"/>
          <w:highlight w:val="none"/>
          <w:lang w:eastAsia="zh-CN"/>
        </w:rPr>
        <w:t>》规</w:t>
      </w:r>
      <w:r>
        <w:rPr>
          <w:rFonts w:ascii="仿宋_GB2312" w:eastAsia="仿宋_GB2312" w:hAnsi="仿宋_GB2312" w:cs="仿宋_GB2312" w:hint="eastAsia"/>
          <w:color w:val="auto"/>
          <w:spacing w:val="2"/>
          <w:w w:val="100"/>
          <w:highlight w:val="none"/>
          <w:lang w:eastAsia="zh-CN"/>
        </w:rPr>
        <w:t>定</w:t>
      </w:r>
      <w:r>
        <w:rPr>
          <w:rFonts w:ascii="仿宋_GB2312" w:eastAsia="仿宋_GB2312" w:hAnsi="仿宋_GB2312" w:cs="仿宋_GB2312" w:hint="eastAsia"/>
          <w:color w:val="auto"/>
          <w:w w:val="100"/>
          <w:highlight w:val="none"/>
          <w:lang w:eastAsia="zh-CN"/>
        </w:rPr>
        <w:t>进行</w:t>
      </w:r>
      <w:r>
        <w:rPr>
          <w:rFonts w:ascii="仿宋_GB2312" w:eastAsia="仿宋_GB2312" w:hAnsi="仿宋_GB2312" w:cs="仿宋_GB2312" w:hint="eastAsia"/>
          <w:color w:val="auto"/>
          <w:spacing w:val="2"/>
          <w:w w:val="100"/>
          <w:highlight w:val="none"/>
          <w:lang w:eastAsia="zh-CN"/>
        </w:rPr>
        <w:t>结</w:t>
      </w:r>
      <w:r>
        <w:rPr>
          <w:rFonts w:ascii="仿宋_GB2312" w:eastAsia="仿宋_GB2312" w:hAnsi="仿宋_GB2312" w:cs="仿宋_GB2312" w:hint="eastAsia"/>
          <w:color w:val="auto"/>
          <w:w w:val="100"/>
          <w:highlight w:val="none"/>
          <w:lang w:eastAsia="zh-CN"/>
        </w:rPr>
        <w:t>算。</w:t>
      </w:r>
    </w:p>
    <w:p>
      <w:pPr>
        <w:pStyle w:val="BodyText"/>
        <w:pageBreakBefore w:val="0"/>
        <w:kinsoku/>
        <w:wordWrap/>
        <w:overflowPunct/>
        <w:topLinePunct w:val="0"/>
        <w:autoSpaceDE/>
        <w:autoSpaceDN/>
        <w:bidi w:val="0"/>
        <w:adjustRightInd/>
        <w:spacing w:line="560" w:lineRule="exact"/>
        <w:ind w:left="0" w:right="0" w:firstLine="640" w:firstLineChars="200"/>
        <w:jc w:val="both"/>
        <w:textAlignment w:val="auto"/>
        <w:rPr>
          <w:rFonts w:ascii="仿宋_GB2312" w:eastAsia="仿宋_GB2312" w:hAnsi="仿宋_GB2312" w:cs="仿宋_GB2312"/>
          <w:color w:val="auto"/>
          <w:w w:val="100"/>
          <w:highlight w:val="none"/>
          <w:lang w:eastAsia="zh-CN"/>
        </w:rPr>
      </w:pPr>
      <w:r>
        <w:rPr>
          <w:rFonts w:ascii="仿宋_GB2312" w:eastAsia="仿宋_GB2312" w:hAnsi="仿宋_GB2312" w:cs="仿宋_GB2312" w:hint="eastAsia"/>
          <w:color w:val="auto"/>
          <w:w w:val="100"/>
          <w:highlight w:val="none"/>
          <w:lang w:eastAsia="zh-CN"/>
        </w:rPr>
        <w:t>（2）</w:t>
      </w:r>
      <w:r>
        <w:rPr>
          <w:rFonts w:ascii="仿宋_GB2312" w:eastAsia="仿宋_GB2312" w:hAnsi="仿宋_GB2312" w:cs="仿宋_GB2312" w:hint="eastAsia"/>
          <w:color w:val="auto"/>
          <w:spacing w:val="1"/>
          <w:w w:val="100"/>
          <w:highlight w:val="none"/>
          <w:lang w:eastAsia="zh-CN"/>
        </w:rPr>
        <w:t>交</w:t>
      </w:r>
      <w:r>
        <w:rPr>
          <w:rFonts w:ascii="仿宋_GB2312" w:eastAsia="仿宋_GB2312" w:hAnsi="仿宋_GB2312" w:cs="仿宋_GB2312" w:hint="eastAsia"/>
          <w:color w:val="auto"/>
          <w:w w:val="100"/>
          <w:highlight w:val="none"/>
          <w:lang w:eastAsia="zh-CN"/>
        </w:rPr>
        <w:t>易单</w:t>
      </w:r>
      <w:r>
        <w:rPr>
          <w:rFonts w:ascii="仿宋_GB2312" w:eastAsia="仿宋_GB2312" w:hAnsi="仿宋_GB2312" w:cs="仿宋_GB2312" w:hint="eastAsia"/>
          <w:color w:val="auto"/>
          <w:spacing w:val="1"/>
          <w:w w:val="100"/>
          <w:highlight w:val="none"/>
          <w:lang w:eastAsia="zh-CN"/>
        </w:rPr>
        <w:t>元</w:t>
      </w:r>
      <w:r>
        <w:rPr>
          <w:rFonts w:ascii="仿宋_GB2312" w:eastAsia="仿宋_GB2312" w:hAnsi="仿宋_GB2312" w:cs="仿宋_GB2312" w:hint="eastAsia"/>
          <w:color w:val="auto"/>
          <w:w w:val="100"/>
          <w:highlight w:val="none"/>
          <w:lang w:eastAsia="zh-CN"/>
        </w:rPr>
        <w:t>，指</w:t>
      </w:r>
      <w:r>
        <w:rPr>
          <w:rFonts w:ascii="仿宋_GB2312" w:eastAsia="仿宋_GB2312" w:hAnsi="仿宋_GB2312" w:cs="仿宋_GB2312" w:hint="eastAsia"/>
          <w:color w:val="auto"/>
          <w:spacing w:val="1"/>
          <w:w w:val="100"/>
          <w:highlight w:val="none"/>
          <w:lang w:eastAsia="zh-CN"/>
        </w:rPr>
        <w:t>市场成员</w:t>
      </w:r>
      <w:r>
        <w:rPr>
          <w:rFonts w:ascii="仿宋_GB2312" w:eastAsia="仿宋_GB2312" w:hAnsi="仿宋_GB2312" w:cs="仿宋_GB2312" w:hint="eastAsia"/>
          <w:color w:val="auto"/>
          <w:w w:val="100"/>
          <w:highlight w:val="none"/>
          <w:lang w:eastAsia="zh-CN"/>
        </w:rPr>
        <w:t>参加</w:t>
      </w:r>
      <w:r>
        <w:rPr>
          <w:rFonts w:ascii="仿宋_GB2312" w:eastAsia="仿宋_GB2312" w:hAnsi="仿宋_GB2312" w:cs="仿宋_GB2312" w:hint="eastAsia"/>
          <w:color w:val="auto"/>
          <w:spacing w:val="1"/>
          <w:w w:val="100"/>
          <w:highlight w:val="none"/>
          <w:lang w:eastAsia="zh-CN"/>
        </w:rPr>
        <w:t>中</w:t>
      </w:r>
      <w:r>
        <w:rPr>
          <w:rFonts w:ascii="仿宋_GB2312" w:eastAsia="仿宋_GB2312" w:hAnsi="仿宋_GB2312" w:cs="仿宋_GB2312" w:hint="eastAsia"/>
          <w:color w:val="auto"/>
          <w:w w:val="100"/>
          <w:highlight w:val="none"/>
          <w:lang w:eastAsia="zh-CN"/>
        </w:rPr>
        <w:t>长期</w:t>
      </w:r>
      <w:r>
        <w:rPr>
          <w:rFonts w:ascii="仿宋_GB2312" w:eastAsia="仿宋_GB2312" w:hAnsi="仿宋_GB2312" w:cs="仿宋_GB2312" w:hint="eastAsia"/>
          <w:color w:val="auto"/>
          <w:spacing w:val="1"/>
          <w:w w:val="100"/>
          <w:highlight w:val="none"/>
          <w:lang w:eastAsia="zh-CN"/>
        </w:rPr>
        <w:t>各</w:t>
      </w:r>
      <w:r>
        <w:rPr>
          <w:rFonts w:ascii="仿宋_GB2312" w:eastAsia="仿宋_GB2312" w:hAnsi="仿宋_GB2312" w:cs="仿宋_GB2312" w:hint="eastAsia"/>
          <w:color w:val="auto"/>
          <w:w w:val="100"/>
          <w:highlight w:val="none"/>
          <w:lang w:eastAsia="zh-CN"/>
        </w:rPr>
        <w:t>交易</w:t>
      </w:r>
      <w:r>
        <w:rPr>
          <w:rFonts w:ascii="仿宋_GB2312" w:eastAsia="仿宋_GB2312" w:hAnsi="仿宋_GB2312" w:cs="仿宋_GB2312" w:hint="eastAsia"/>
          <w:color w:val="auto"/>
          <w:spacing w:val="1"/>
          <w:w w:val="100"/>
          <w:highlight w:val="none"/>
          <w:lang w:eastAsia="zh-CN"/>
        </w:rPr>
        <w:t>品</w:t>
      </w:r>
      <w:r>
        <w:rPr>
          <w:rFonts w:ascii="仿宋_GB2312" w:eastAsia="仿宋_GB2312" w:hAnsi="仿宋_GB2312" w:cs="仿宋_GB2312" w:hint="eastAsia"/>
          <w:color w:val="auto"/>
          <w:w w:val="100"/>
          <w:highlight w:val="none"/>
          <w:lang w:eastAsia="zh-CN"/>
        </w:rPr>
        <w:t>种的基</w:t>
      </w:r>
      <w:r>
        <w:rPr>
          <w:rFonts w:ascii="仿宋_GB2312" w:eastAsia="仿宋_GB2312" w:hAnsi="仿宋_GB2312" w:cs="仿宋_GB2312" w:hint="eastAsia"/>
          <w:color w:val="auto"/>
          <w:spacing w:val="2"/>
          <w:w w:val="100"/>
          <w:highlight w:val="none"/>
          <w:lang w:eastAsia="zh-CN"/>
        </w:rPr>
        <w:t>本</w:t>
      </w:r>
      <w:r>
        <w:rPr>
          <w:rFonts w:ascii="仿宋_GB2312" w:eastAsia="仿宋_GB2312" w:hAnsi="仿宋_GB2312" w:cs="仿宋_GB2312" w:hint="eastAsia"/>
          <w:color w:val="auto"/>
          <w:w w:val="100"/>
          <w:highlight w:val="none"/>
          <w:lang w:eastAsia="zh-CN"/>
        </w:rPr>
        <w:t>单位。</w:t>
      </w:r>
    </w:p>
    <w:p>
      <w:pPr>
        <w:pStyle w:val="BodyText"/>
        <w:pageBreakBefore w:val="0"/>
        <w:kinsoku/>
        <w:wordWrap/>
        <w:overflowPunct/>
        <w:topLinePunct w:val="0"/>
        <w:autoSpaceDE/>
        <w:autoSpaceDN/>
        <w:bidi w:val="0"/>
        <w:adjustRightInd/>
        <w:spacing w:line="560" w:lineRule="exact"/>
        <w:ind w:left="0" w:right="0" w:firstLine="640" w:firstLineChars="200"/>
        <w:jc w:val="both"/>
        <w:textAlignment w:val="auto"/>
        <w:rPr>
          <w:rFonts w:ascii="仿宋_GB2312" w:eastAsia="仿宋_GB2312" w:hAnsi="仿宋_GB2312" w:cs="仿宋_GB2312"/>
          <w:color w:val="auto"/>
          <w:w w:val="100"/>
          <w:highlight w:val="none"/>
          <w:lang w:eastAsia="zh-CN"/>
        </w:rPr>
      </w:pPr>
      <w:r>
        <w:rPr>
          <w:rFonts w:ascii="仿宋_GB2312" w:eastAsia="仿宋_GB2312" w:hAnsi="仿宋_GB2312" w:cs="仿宋_GB2312" w:hint="eastAsia"/>
          <w:color w:val="auto"/>
          <w:w w:val="100"/>
          <w:highlight w:val="none"/>
          <w:lang w:eastAsia="zh-CN"/>
        </w:rPr>
        <w:t>（</w:t>
      </w:r>
      <w:r>
        <w:rPr>
          <w:rFonts w:ascii="仿宋_GB2312" w:eastAsia="仿宋_GB2312" w:hAnsi="仿宋_GB2312" w:cs="仿宋_GB2312" w:hint="eastAsia"/>
          <w:color w:val="auto"/>
          <w:spacing w:val="-1"/>
          <w:w w:val="100"/>
          <w:highlight w:val="none"/>
          <w:lang w:val="en-US" w:eastAsia="zh-CN"/>
        </w:rPr>
        <w:t>3</w:t>
      </w:r>
      <w:r>
        <w:rPr>
          <w:rFonts w:ascii="仿宋_GB2312" w:eastAsia="仿宋_GB2312" w:hAnsi="仿宋_GB2312" w:cs="仿宋_GB2312" w:hint="eastAsia"/>
          <w:color w:val="auto"/>
          <w:w w:val="100"/>
          <w:highlight w:val="none"/>
          <w:lang w:eastAsia="zh-CN"/>
        </w:rPr>
        <w:t>）</w:t>
      </w:r>
      <w:r>
        <w:rPr>
          <w:rFonts w:ascii="仿宋_GB2312" w:eastAsia="仿宋_GB2312" w:hAnsi="仿宋_GB2312" w:cs="仿宋_GB2312" w:hint="eastAsia"/>
          <w:color w:val="auto"/>
          <w:spacing w:val="2"/>
          <w:w w:val="100"/>
          <w:highlight w:val="none"/>
          <w:lang w:eastAsia="zh-CN"/>
        </w:rPr>
        <w:t>标</w:t>
      </w:r>
      <w:r>
        <w:rPr>
          <w:rFonts w:ascii="仿宋_GB2312" w:eastAsia="仿宋_GB2312" w:hAnsi="仿宋_GB2312" w:cs="仿宋_GB2312" w:hint="eastAsia"/>
          <w:color w:val="auto"/>
          <w:w w:val="100"/>
          <w:highlight w:val="none"/>
          <w:lang w:eastAsia="zh-CN"/>
        </w:rPr>
        <w:t>的</w:t>
      </w:r>
      <w:r>
        <w:rPr>
          <w:rFonts w:ascii="仿宋_GB2312" w:eastAsia="仿宋_GB2312" w:hAnsi="仿宋_GB2312" w:cs="仿宋_GB2312" w:hint="eastAsia"/>
          <w:color w:val="auto"/>
          <w:spacing w:val="2"/>
          <w:w w:val="100"/>
          <w:highlight w:val="none"/>
          <w:lang w:eastAsia="zh-CN"/>
        </w:rPr>
        <w:t>月</w:t>
      </w:r>
      <w:r>
        <w:rPr>
          <w:rFonts w:ascii="仿宋_GB2312" w:eastAsia="仿宋_GB2312" w:hAnsi="仿宋_GB2312" w:cs="仿宋_GB2312" w:hint="eastAsia"/>
          <w:color w:val="auto"/>
          <w:w w:val="100"/>
          <w:highlight w:val="none"/>
          <w:lang w:eastAsia="zh-CN"/>
        </w:rPr>
        <w:t>，指</w:t>
      </w:r>
      <w:r>
        <w:rPr>
          <w:rFonts w:ascii="仿宋_GB2312" w:eastAsia="仿宋_GB2312" w:hAnsi="仿宋_GB2312" w:cs="仿宋_GB2312" w:hint="eastAsia"/>
          <w:color w:val="auto"/>
          <w:spacing w:val="2"/>
          <w:w w:val="100"/>
          <w:highlight w:val="none"/>
          <w:lang w:eastAsia="zh-CN"/>
        </w:rPr>
        <w:t>中</w:t>
      </w:r>
      <w:r>
        <w:rPr>
          <w:rFonts w:ascii="仿宋_GB2312" w:eastAsia="仿宋_GB2312" w:hAnsi="仿宋_GB2312" w:cs="仿宋_GB2312" w:hint="eastAsia"/>
          <w:color w:val="auto"/>
          <w:w w:val="100"/>
          <w:highlight w:val="none"/>
          <w:lang w:eastAsia="zh-CN"/>
        </w:rPr>
        <w:t>长期</w:t>
      </w:r>
      <w:r>
        <w:rPr>
          <w:rFonts w:ascii="仿宋_GB2312" w:eastAsia="仿宋_GB2312" w:hAnsi="仿宋_GB2312" w:cs="仿宋_GB2312" w:hint="eastAsia"/>
          <w:color w:val="auto"/>
          <w:spacing w:val="2"/>
          <w:w w:val="100"/>
          <w:highlight w:val="none"/>
          <w:lang w:eastAsia="zh-CN"/>
        </w:rPr>
        <w:t>交</w:t>
      </w:r>
      <w:r>
        <w:rPr>
          <w:rFonts w:ascii="仿宋_GB2312" w:eastAsia="仿宋_GB2312" w:hAnsi="仿宋_GB2312" w:cs="仿宋_GB2312" w:hint="eastAsia"/>
          <w:color w:val="auto"/>
          <w:w w:val="100"/>
          <w:highlight w:val="none"/>
          <w:lang w:eastAsia="zh-CN"/>
        </w:rPr>
        <w:t>易电</w:t>
      </w:r>
      <w:r>
        <w:rPr>
          <w:rFonts w:ascii="仿宋_GB2312" w:eastAsia="仿宋_GB2312" w:hAnsi="仿宋_GB2312" w:cs="仿宋_GB2312" w:hint="eastAsia"/>
          <w:color w:val="auto"/>
          <w:spacing w:val="2"/>
          <w:w w:val="100"/>
          <w:highlight w:val="none"/>
          <w:lang w:eastAsia="zh-CN"/>
        </w:rPr>
        <w:t>量</w:t>
      </w:r>
      <w:r>
        <w:rPr>
          <w:rFonts w:ascii="仿宋_GB2312" w:eastAsia="仿宋_GB2312" w:hAnsi="仿宋_GB2312" w:cs="仿宋_GB2312" w:hint="eastAsia"/>
          <w:color w:val="auto"/>
          <w:w w:val="100"/>
          <w:highlight w:val="none"/>
          <w:lang w:eastAsia="zh-CN"/>
        </w:rPr>
        <w:t>所属</w:t>
      </w:r>
      <w:r>
        <w:rPr>
          <w:rFonts w:ascii="仿宋_GB2312" w:eastAsia="仿宋_GB2312" w:hAnsi="仿宋_GB2312" w:cs="仿宋_GB2312" w:hint="eastAsia"/>
          <w:color w:val="auto"/>
          <w:spacing w:val="2"/>
          <w:w w:val="100"/>
          <w:highlight w:val="none"/>
          <w:lang w:eastAsia="zh-CN"/>
        </w:rPr>
        <w:t>的</w:t>
      </w:r>
      <w:r>
        <w:rPr>
          <w:rFonts w:ascii="仿宋_GB2312" w:eastAsia="仿宋_GB2312" w:hAnsi="仿宋_GB2312" w:cs="仿宋_GB2312" w:hint="eastAsia"/>
          <w:color w:val="auto"/>
          <w:w w:val="100"/>
          <w:highlight w:val="none"/>
          <w:lang w:eastAsia="zh-CN"/>
        </w:rPr>
        <w:t>月份。</w:t>
      </w:r>
    </w:p>
    <w:p>
      <w:pPr>
        <w:pStyle w:val="BodyText"/>
        <w:pageBreakBefore w:val="0"/>
        <w:kinsoku/>
        <w:wordWrap/>
        <w:overflowPunct/>
        <w:topLinePunct w:val="0"/>
        <w:autoSpaceDE/>
        <w:autoSpaceDN/>
        <w:bidi w:val="0"/>
        <w:adjustRightInd/>
        <w:spacing w:line="560" w:lineRule="exact"/>
        <w:ind w:left="0" w:right="0" w:firstLine="640" w:firstLineChars="200"/>
        <w:jc w:val="both"/>
        <w:textAlignment w:val="auto"/>
        <w:rPr>
          <w:rFonts w:ascii="仿宋_GB2312" w:eastAsia="仿宋_GB2312" w:hAnsi="仿宋_GB2312" w:cs="仿宋_GB2312"/>
          <w:color w:val="auto"/>
          <w:w w:val="100"/>
          <w:highlight w:val="none"/>
          <w:lang w:eastAsia="zh-CN"/>
        </w:rPr>
      </w:pPr>
      <w:r>
        <w:rPr>
          <w:rFonts w:ascii="仿宋_GB2312" w:eastAsia="仿宋_GB2312" w:hAnsi="仿宋_GB2312" w:cs="仿宋_GB2312" w:hint="eastAsia"/>
          <w:color w:val="auto"/>
          <w:w w:val="100"/>
          <w:highlight w:val="none"/>
          <w:lang w:eastAsia="zh-CN"/>
        </w:rPr>
        <w:t>（</w:t>
      </w:r>
      <w:r>
        <w:rPr>
          <w:rFonts w:ascii="仿宋_GB2312" w:eastAsia="仿宋_GB2312" w:hAnsi="仿宋_GB2312" w:cs="仿宋_GB2312" w:hint="eastAsia"/>
          <w:color w:val="auto"/>
          <w:spacing w:val="-1"/>
          <w:w w:val="100"/>
          <w:highlight w:val="none"/>
          <w:lang w:val="en-US" w:eastAsia="zh-CN"/>
        </w:rPr>
        <w:t>4</w:t>
      </w:r>
      <w:r>
        <w:rPr>
          <w:rFonts w:ascii="仿宋_GB2312" w:eastAsia="仿宋_GB2312" w:hAnsi="仿宋_GB2312" w:cs="仿宋_GB2312" w:hint="eastAsia"/>
          <w:color w:val="auto"/>
          <w:w w:val="100"/>
          <w:highlight w:val="none"/>
          <w:lang w:eastAsia="zh-CN"/>
        </w:rPr>
        <w:t>）合同周期。指合同的起止时间，以日历日为基本单位。</w:t>
      </w:r>
    </w:p>
    <w:p>
      <w:pPr>
        <w:pStyle w:val="BodyText"/>
        <w:pageBreakBefore w:val="0"/>
        <w:kinsoku/>
        <w:wordWrap/>
        <w:overflowPunct/>
        <w:topLinePunct w:val="0"/>
        <w:autoSpaceDE/>
        <w:autoSpaceDN/>
        <w:bidi w:val="0"/>
        <w:adjustRightInd/>
        <w:spacing w:line="560" w:lineRule="exact"/>
        <w:ind w:left="0" w:right="0" w:firstLine="640" w:firstLineChars="200"/>
        <w:jc w:val="both"/>
        <w:textAlignment w:val="auto"/>
        <w:rPr>
          <w:rFonts w:ascii="仿宋_GB2312" w:eastAsia="仿宋_GB2312" w:hAnsi="仿宋_GB2312" w:cs="仿宋_GB2312"/>
          <w:color w:val="auto"/>
          <w:w w:val="100"/>
          <w:highlight w:val="none"/>
          <w:lang w:eastAsia="zh-CN"/>
        </w:rPr>
      </w:pPr>
      <w:r>
        <w:rPr>
          <w:rFonts w:ascii="仿宋_GB2312" w:eastAsia="仿宋_GB2312" w:hAnsi="仿宋_GB2312" w:cs="仿宋_GB2312" w:hint="eastAsia"/>
          <w:color w:val="auto"/>
          <w:w w:val="100"/>
          <w:highlight w:val="none"/>
          <w:lang w:eastAsia="zh-CN"/>
        </w:rPr>
        <w:t>（</w:t>
      </w:r>
      <w:r>
        <w:rPr>
          <w:rFonts w:ascii="仿宋_GB2312" w:eastAsia="仿宋_GB2312" w:hAnsi="仿宋_GB2312" w:cs="仿宋_GB2312" w:hint="eastAsia"/>
          <w:color w:val="auto"/>
          <w:spacing w:val="-1"/>
          <w:w w:val="100"/>
          <w:highlight w:val="none"/>
          <w:lang w:val="en-US" w:eastAsia="zh-CN"/>
        </w:rPr>
        <w:t>5</w:t>
      </w:r>
      <w:r>
        <w:rPr>
          <w:rFonts w:ascii="仿宋_GB2312" w:eastAsia="仿宋_GB2312" w:hAnsi="仿宋_GB2312" w:cs="仿宋_GB2312" w:hint="eastAsia"/>
          <w:color w:val="auto"/>
          <w:w w:val="100"/>
          <w:highlight w:val="none"/>
          <w:lang w:eastAsia="zh-CN"/>
        </w:rPr>
        <w:t>）</w:t>
      </w:r>
      <w:r>
        <w:rPr>
          <w:rFonts w:ascii="仿宋_GB2312" w:eastAsia="仿宋_GB2312" w:hAnsi="仿宋_GB2312" w:cs="仿宋_GB2312" w:hint="eastAsia"/>
          <w:color w:val="auto"/>
          <w:spacing w:val="1"/>
          <w:w w:val="100"/>
          <w:highlight w:val="none"/>
          <w:lang w:eastAsia="zh-CN"/>
        </w:rPr>
        <w:t>结算参考点。</w:t>
      </w:r>
      <w:r>
        <w:rPr>
          <w:rFonts w:ascii="仿宋_GB2312" w:eastAsia="仿宋_GB2312" w:hAnsi="仿宋_GB2312" w:cs="仿宋_GB2312" w:hint="eastAsia"/>
          <w:color w:val="auto"/>
          <w:spacing w:val="1"/>
          <w:w w:val="100"/>
          <w:highlight w:val="none"/>
          <w:lang w:val="en-US" w:eastAsia="zh-CN"/>
        </w:rPr>
        <w:t>虚拟点，</w:t>
      </w:r>
      <w:r>
        <w:rPr>
          <w:rFonts w:ascii="仿宋_GB2312" w:eastAsia="仿宋_GB2312" w:hAnsi="仿宋_GB2312" w:cs="仿宋_GB2312" w:hint="eastAsia"/>
          <w:color w:val="auto"/>
          <w:spacing w:val="1"/>
          <w:w w:val="100"/>
          <w:highlight w:val="none"/>
          <w:lang w:eastAsia="zh-CN"/>
        </w:rPr>
        <w:t>指市场成员购售双方约定中长期合同的交割电量、电价的唯一节点。</w:t>
      </w:r>
    </w:p>
    <w:p>
      <w:pPr>
        <w:pStyle w:val="BodyText"/>
        <w:pageBreakBefore w:val="0"/>
        <w:kinsoku/>
        <w:wordWrap/>
        <w:overflowPunct/>
        <w:topLinePunct w:val="0"/>
        <w:autoSpaceDE/>
        <w:autoSpaceDN/>
        <w:bidi w:val="0"/>
        <w:adjustRightInd/>
        <w:spacing w:line="560" w:lineRule="exact"/>
        <w:ind w:left="0" w:right="0" w:firstLine="640" w:firstLineChars="200"/>
        <w:jc w:val="both"/>
        <w:textAlignment w:val="auto"/>
        <w:rPr>
          <w:rFonts w:ascii="仿宋_GB2312" w:eastAsia="仿宋_GB2312" w:hAnsi="仿宋_GB2312" w:cs="仿宋_GB2312"/>
          <w:color w:val="auto"/>
          <w:w w:val="100"/>
          <w:highlight w:val="none"/>
          <w:lang w:eastAsia="zh-CN"/>
        </w:rPr>
      </w:pPr>
      <w:r>
        <w:rPr>
          <w:rFonts w:ascii="仿宋_GB2312" w:eastAsia="仿宋_GB2312" w:hAnsi="仿宋_GB2312" w:cs="仿宋_GB2312" w:hint="eastAsia"/>
          <w:color w:val="auto"/>
          <w:w w:val="100"/>
          <w:highlight w:val="none"/>
          <w:lang w:eastAsia="zh-CN"/>
        </w:rPr>
        <w:t>（</w:t>
      </w:r>
      <w:r>
        <w:rPr>
          <w:rFonts w:ascii="仿宋_GB2312" w:eastAsia="仿宋_GB2312" w:hAnsi="仿宋_GB2312" w:cs="仿宋_GB2312" w:hint="eastAsia"/>
          <w:color w:val="auto"/>
          <w:spacing w:val="-1"/>
          <w:w w:val="100"/>
          <w:highlight w:val="none"/>
          <w:lang w:val="en-US" w:eastAsia="zh-CN"/>
        </w:rPr>
        <w:t>6</w:t>
      </w:r>
      <w:r>
        <w:rPr>
          <w:rFonts w:ascii="仿宋_GB2312" w:eastAsia="仿宋_GB2312" w:hAnsi="仿宋_GB2312" w:cs="仿宋_GB2312" w:hint="eastAsia"/>
          <w:color w:val="auto"/>
          <w:w w:val="100"/>
          <w:highlight w:val="none"/>
          <w:lang w:eastAsia="zh-CN"/>
        </w:rPr>
        <w:t>）合同电</w:t>
      </w:r>
      <w:r>
        <w:rPr>
          <w:rFonts w:ascii="仿宋_GB2312" w:eastAsia="仿宋_GB2312" w:hAnsi="仿宋_GB2312" w:cs="仿宋_GB2312" w:hint="eastAsia"/>
          <w:color w:val="auto"/>
          <w:spacing w:val="2"/>
          <w:w w:val="100"/>
          <w:highlight w:val="none"/>
          <w:lang w:eastAsia="zh-CN"/>
        </w:rPr>
        <w:t>量</w:t>
      </w:r>
      <w:r>
        <w:rPr>
          <w:rFonts w:ascii="仿宋_GB2312" w:eastAsia="仿宋_GB2312" w:hAnsi="仿宋_GB2312" w:cs="仿宋_GB2312" w:hint="eastAsia"/>
          <w:color w:val="auto"/>
          <w:w w:val="100"/>
          <w:highlight w:val="none"/>
          <w:lang w:eastAsia="zh-CN"/>
        </w:rPr>
        <w:t>，指</w:t>
      </w:r>
      <w:r>
        <w:rPr>
          <w:rFonts w:ascii="仿宋_GB2312" w:eastAsia="仿宋_GB2312" w:hAnsi="仿宋_GB2312" w:cs="仿宋_GB2312" w:hint="eastAsia"/>
          <w:color w:val="auto"/>
          <w:spacing w:val="2"/>
          <w:w w:val="100"/>
          <w:highlight w:val="none"/>
          <w:lang w:eastAsia="zh-CN"/>
        </w:rPr>
        <w:t>市场成员</w:t>
      </w:r>
      <w:r>
        <w:rPr>
          <w:rFonts w:ascii="仿宋_GB2312" w:eastAsia="仿宋_GB2312" w:hAnsi="仿宋_GB2312" w:cs="仿宋_GB2312" w:hint="eastAsia"/>
          <w:color w:val="auto"/>
          <w:w w:val="100"/>
          <w:highlight w:val="none"/>
          <w:lang w:eastAsia="zh-CN"/>
        </w:rPr>
        <w:t>在中</w:t>
      </w:r>
      <w:r>
        <w:rPr>
          <w:rFonts w:ascii="仿宋_GB2312" w:eastAsia="仿宋_GB2312" w:hAnsi="仿宋_GB2312" w:cs="仿宋_GB2312" w:hint="eastAsia"/>
          <w:color w:val="auto"/>
          <w:spacing w:val="2"/>
          <w:w w:val="100"/>
          <w:highlight w:val="none"/>
          <w:lang w:eastAsia="zh-CN"/>
        </w:rPr>
        <w:t>长</w:t>
      </w:r>
      <w:r>
        <w:rPr>
          <w:rFonts w:ascii="仿宋_GB2312" w:eastAsia="仿宋_GB2312" w:hAnsi="仿宋_GB2312" w:cs="仿宋_GB2312" w:hint="eastAsia"/>
          <w:color w:val="auto"/>
          <w:w w:val="100"/>
          <w:highlight w:val="none"/>
          <w:lang w:eastAsia="zh-CN"/>
        </w:rPr>
        <w:t>期市</w:t>
      </w:r>
      <w:r>
        <w:rPr>
          <w:rFonts w:ascii="仿宋_GB2312" w:eastAsia="仿宋_GB2312" w:hAnsi="仿宋_GB2312" w:cs="仿宋_GB2312" w:hint="eastAsia"/>
          <w:color w:val="auto"/>
          <w:spacing w:val="2"/>
          <w:w w:val="100"/>
          <w:highlight w:val="none"/>
          <w:lang w:eastAsia="zh-CN"/>
        </w:rPr>
        <w:t>场</w:t>
      </w:r>
      <w:r>
        <w:rPr>
          <w:rFonts w:ascii="仿宋_GB2312" w:eastAsia="仿宋_GB2312" w:hAnsi="仿宋_GB2312" w:cs="仿宋_GB2312" w:hint="eastAsia"/>
          <w:color w:val="auto"/>
          <w:w w:val="100"/>
          <w:highlight w:val="none"/>
          <w:lang w:eastAsia="zh-CN"/>
        </w:rPr>
        <w:t>中所成交</w:t>
      </w:r>
      <w:r>
        <w:rPr>
          <w:rFonts w:ascii="仿宋_GB2312" w:eastAsia="仿宋_GB2312" w:hAnsi="仿宋_GB2312" w:cs="仿宋_GB2312" w:hint="eastAsia"/>
          <w:color w:val="auto"/>
          <w:spacing w:val="2"/>
          <w:w w:val="100"/>
          <w:highlight w:val="none"/>
          <w:lang w:eastAsia="zh-CN"/>
        </w:rPr>
        <w:t>的</w:t>
      </w:r>
      <w:r>
        <w:rPr>
          <w:rFonts w:ascii="仿宋_GB2312" w:eastAsia="仿宋_GB2312" w:hAnsi="仿宋_GB2312" w:cs="仿宋_GB2312" w:hint="eastAsia"/>
          <w:color w:val="auto"/>
          <w:w w:val="100"/>
          <w:highlight w:val="none"/>
          <w:lang w:eastAsia="zh-CN"/>
        </w:rPr>
        <w:t>市</w:t>
      </w:r>
      <w:r>
        <w:rPr>
          <w:rFonts w:ascii="仿宋_GB2312" w:eastAsia="仿宋_GB2312" w:hAnsi="仿宋_GB2312" w:cs="仿宋_GB2312" w:hint="eastAsia"/>
          <w:color w:val="auto"/>
          <w:spacing w:val="2"/>
          <w:w w:val="100"/>
          <w:highlight w:val="none"/>
          <w:lang w:eastAsia="zh-CN"/>
        </w:rPr>
        <w:t>场</w:t>
      </w:r>
      <w:r>
        <w:rPr>
          <w:rFonts w:ascii="仿宋_GB2312" w:eastAsia="仿宋_GB2312" w:hAnsi="仿宋_GB2312" w:cs="仿宋_GB2312" w:hint="eastAsia"/>
          <w:color w:val="auto"/>
          <w:w w:val="100"/>
          <w:highlight w:val="none"/>
          <w:lang w:eastAsia="zh-CN"/>
        </w:rPr>
        <w:t>化电</w:t>
      </w:r>
      <w:r>
        <w:rPr>
          <w:rFonts w:ascii="仿宋_GB2312" w:eastAsia="仿宋_GB2312" w:hAnsi="仿宋_GB2312" w:cs="仿宋_GB2312" w:hint="eastAsia"/>
          <w:color w:val="auto"/>
          <w:spacing w:val="2"/>
          <w:w w:val="100"/>
          <w:highlight w:val="none"/>
          <w:lang w:eastAsia="zh-CN"/>
        </w:rPr>
        <w:t>量</w:t>
      </w:r>
      <w:r>
        <w:rPr>
          <w:rFonts w:ascii="仿宋_GB2312" w:eastAsia="仿宋_GB2312" w:hAnsi="仿宋_GB2312" w:cs="仿宋_GB2312" w:hint="eastAsia"/>
          <w:color w:val="auto"/>
          <w:w w:val="100"/>
          <w:highlight w:val="none"/>
          <w:lang w:eastAsia="zh-CN"/>
        </w:rPr>
        <w:t>。</w:t>
      </w:r>
    </w:p>
    <w:p>
      <w:pPr>
        <w:pStyle w:val="BodyText"/>
        <w:pageBreakBefore w:val="0"/>
        <w:kinsoku/>
        <w:wordWrap/>
        <w:overflowPunct/>
        <w:topLinePunct w:val="0"/>
        <w:autoSpaceDE/>
        <w:autoSpaceDN/>
        <w:bidi w:val="0"/>
        <w:adjustRightInd/>
        <w:spacing w:line="560" w:lineRule="exact"/>
        <w:ind w:left="0" w:right="0" w:firstLine="640" w:firstLineChars="200"/>
        <w:jc w:val="both"/>
        <w:textAlignment w:val="auto"/>
        <w:rPr>
          <w:rFonts w:ascii="仿宋_GB2312" w:eastAsia="仿宋_GB2312" w:hAnsi="仿宋_GB2312" w:cs="仿宋_GB2312"/>
          <w:color w:val="auto"/>
          <w:w w:val="100"/>
          <w:highlight w:val="none"/>
          <w:lang w:eastAsia="zh-CN"/>
        </w:rPr>
      </w:pPr>
      <w:r>
        <w:rPr>
          <w:rFonts w:ascii="仿宋_GB2312" w:eastAsia="仿宋_GB2312" w:hAnsi="仿宋_GB2312" w:cs="仿宋_GB2312" w:hint="eastAsia"/>
          <w:color w:val="auto"/>
          <w:w w:val="100"/>
          <w:highlight w:val="none"/>
          <w:lang w:eastAsia="zh-CN"/>
        </w:rPr>
        <w:t>（</w:t>
      </w:r>
      <w:r>
        <w:rPr>
          <w:rFonts w:ascii="仿宋_GB2312" w:eastAsia="仿宋_GB2312" w:hAnsi="仿宋_GB2312" w:cs="仿宋_GB2312" w:hint="eastAsia"/>
          <w:color w:val="auto"/>
          <w:w w:val="100"/>
          <w:highlight w:val="none"/>
          <w:lang w:val="en-US" w:eastAsia="zh-CN"/>
        </w:rPr>
        <w:t>7</w:t>
      </w:r>
      <w:r>
        <w:rPr>
          <w:rFonts w:ascii="仿宋_GB2312" w:eastAsia="仿宋_GB2312" w:hAnsi="仿宋_GB2312" w:cs="仿宋_GB2312" w:hint="eastAsia"/>
          <w:color w:val="auto"/>
          <w:w w:val="100"/>
          <w:highlight w:val="none"/>
          <w:lang w:eastAsia="zh-CN"/>
        </w:rPr>
        <w:t>）交</w:t>
      </w:r>
      <w:r>
        <w:rPr>
          <w:rFonts w:ascii="仿宋_GB2312" w:eastAsia="仿宋_GB2312" w:hAnsi="仿宋_GB2312" w:cs="仿宋_GB2312" w:hint="eastAsia"/>
          <w:color w:val="auto"/>
          <w:spacing w:val="1"/>
          <w:w w:val="100"/>
          <w:highlight w:val="none"/>
          <w:lang w:eastAsia="zh-CN"/>
        </w:rPr>
        <w:t>易</w:t>
      </w:r>
      <w:r>
        <w:rPr>
          <w:rFonts w:ascii="仿宋_GB2312" w:eastAsia="仿宋_GB2312" w:hAnsi="仿宋_GB2312" w:cs="仿宋_GB2312" w:hint="eastAsia"/>
          <w:color w:val="auto"/>
          <w:w w:val="100"/>
          <w:highlight w:val="none"/>
          <w:lang w:eastAsia="zh-CN"/>
        </w:rPr>
        <w:t>价</w:t>
      </w:r>
      <w:r>
        <w:rPr>
          <w:rFonts w:ascii="仿宋_GB2312" w:eastAsia="仿宋_GB2312" w:hAnsi="仿宋_GB2312" w:cs="仿宋_GB2312" w:hint="eastAsia"/>
          <w:color w:val="auto"/>
          <w:spacing w:val="1"/>
          <w:w w:val="100"/>
          <w:highlight w:val="none"/>
          <w:lang w:eastAsia="zh-CN"/>
        </w:rPr>
        <w:t>格</w:t>
      </w:r>
      <w:r>
        <w:rPr>
          <w:rFonts w:ascii="仿宋_GB2312" w:eastAsia="仿宋_GB2312" w:hAnsi="仿宋_GB2312" w:cs="仿宋_GB2312" w:hint="eastAsia"/>
          <w:color w:val="auto"/>
          <w:w w:val="100"/>
          <w:highlight w:val="none"/>
          <w:lang w:eastAsia="zh-CN"/>
        </w:rPr>
        <w:t>，指</w:t>
      </w:r>
      <w:r>
        <w:rPr>
          <w:rFonts w:ascii="仿宋_GB2312" w:eastAsia="仿宋_GB2312" w:hAnsi="仿宋_GB2312" w:cs="仿宋_GB2312" w:hint="eastAsia"/>
          <w:color w:val="auto"/>
          <w:spacing w:val="1"/>
          <w:w w:val="100"/>
          <w:highlight w:val="none"/>
          <w:lang w:eastAsia="zh-CN"/>
        </w:rPr>
        <w:t>市场成员</w:t>
      </w:r>
      <w:r>
        <w:rPr>
          <w:rFonts w:ascii="仿宋_GB2312" w:eastAsia="仿宋_GB2312" w:hAnsi="仿宋_GB2312" w:cs="仿宋_GB2312" w:hint="eastAsia"/>
          <w:color w:val="auto"/>
          <w:w w:val="100"/>
          <w:highlight w:val="none"/>
          <w:lang w:eastAsia="zh-CN"/>
        </w:rPr>
        <w:t>在参</w:t>
      </w:r>
      <w:r>
        <w:rPr>
          <w:rFonts w:ascii="仿宋_GB2312" w:eastAsia="仿宋_GB2312" w:hAnsi="仿宋_GB2312" w:cs="仿宋_GB2312" w:hint="eastAsia"/>
          <w:color w:val="auto"/>
          <w:spacing w:val="1"/>
          <w:w w:val="100"/>
          <w:highlight w:val="none"/>
          <w:lang w:eastAsia="zh-CN"/>
        </w:rPr>
        <w:t>加</w:t>
      </w:r>
      <w:r>
        <w:rPr>
          <w:rFonts w:ascii="仿宋_GB2312" w:eastAsia="仿宋_GB2312" w:hAnsi="仿宋_GB2312" w:cs="仿宋_GB2312" w:hint="eastAsia"/>
          <w:color w:val="auto"/>
          <w:w w:val="100"/>
          <w:highlight w:val="none"/>
          <w:lang w:eastAsia="zh-CN"/>
        </w:rPr>
        <w:t>中长</w:t>
      </w:r>
      <w:r>
        <w:rPr>
          <w:rFonts w:ascii="仿宋_GB2312" w:eastAsia="仿宋_GB2312" w:hAnsi="仿宋_GB2312" w:cs="仿宋_GB2312" w:hint="eastAsia"/>
          <w:color w:val="auto"/>
          <w:spacing w:val="1"/>
          <w:w w:val="100"/>
          <w:highlight w:val="none"/>
          <w:lang w:eastAsia="zh-CN"/>
        </w:rPr>
        <w:t>期</w:t>
      </w:r>
      <w:r>
        <w:rPr>
          <w:rFonts w:ascii="仿宋_GB2312" w:eastAsia="仿宋_GB2312" w:hAnsi="仿宋_GB2312" w:cs="仿宋_GB2312" w:hint="eastAsia"/>
          <w:color w:val="auto"/>
          <w:w w:val="100"/>
          <w:highlight w:val="none"/>
          <w:lang w:eastAsia="zh-CN"/>
        </w:rPr>
        <w:t>交</w:t>
      </w:r>
      <w:r>
        <w:rPr>
          <w:rFonts w:ascii="仿宋_GB2312" w:eastAsia="仿宋_GB2312" w:hAnsi="仿宋_GB2312" w:cs="仿宋_GB2312" w:hint="eastAsia"/>
          <w:color w:val="auto"/>
          <w:spacing w:val="1"/>
          <w:w w:val="100"/>
          <w:highlight w:val="none"/>
          <w:lang w:eastAsia="zh-CN"/>
        </w:rPr>
        <w:t>易</w:t>
      </w:r>
      <w:r>
        <w:rPr>
          <w:rFonts w:ascii="仿宋_GB2312" w:eastAsia="仿宋_GB2312" w:hAnsi="仿宋_GB2312" w:cs="仿宋_GB2312" w:hint="eastAsia"/>
          <w:color w:val="auto"/>
          <w:w w:val="100"/>
          <w:highlight w:val="none"/>
          <w:lang w:eastAsia="zh-CN"/>
        </w:rPr>
        <w:t>时成交的电</w:t>
      </w:r>
      <w:r>
        <w:rPr>
          <w:rFonts w:ascii="仿宋_GB2312" w:eastAsia="仿宋_GB2312" w:hAnsi="仿宋_GB2312" w:cs="仿宋_GB2312" w:hint="eastAsia"/>
          <w:color w:val="auto"/>
          <w:spacing w:val="2"/>
          <w:w w:val="100"/>
          <w:highlight w:val="none"/>
          <w:lang w:eastAsia="zh-CN"/>
        </w:rPr>
        <w:t>能</w:t>
      </w:r>
      <w:r>
        <w:rPr>
          <w:rFonts w:ascii="仿宋_GB2312" w:eastAsia="仿宋_GB2312" w:hAnsi="仿宋_GB2312" w:cs="仿宋_GB2312" w:hint="eastAsia"/>
          <w:color w:val="auto"/>
          <w:w w:val="100"/>
          <w:highlight w:val="none"/>
          <w:lang w:eastAsia="zh-CN"/>
        </w:rPr>
        <w:t>量价</w:t>
      </w:r>
      <w:r>
        <w:rPr>
          <w:rFonts w:ascii="仿宋_GB2312" w:eastAsia="仿宋_GB2312" w:hAnsi="仿宋_GB2312" w:cs="仿宋_GB2312" w:hint="eastAsia"/>
          <w:color w:val="auto"/>
          <w:spacing w:val="2"/>
          <w:w w:val="100"/>
          <w:highlight w:val="none"/>
          <w:lang w:eastAsia="zh-CN"/>
        </w:rPr>
        <w:t>格</w:t>
      </w:r>
      <w:r>
        <w:rPr>
          <w:rFonts w:ascii="仿宋_GB2312" w:eastAsia="仿宋_GB2312" w:hAnsi="仿宋_GB2312" w:cs="仿宋_GB2312" w:hint="eastAsia"/>
          <w:color w:val="auto"/>
          <w:w w:val="100"/>
          <w:highlight w:val="none"/>
          <w:lang w:eastAsia="zh-CN"/>
        </w:rPr>
        <w:t>，采</w:t>
      </w:r>
      <w:r>
        <w:rPr>
          <w:rFonts w:ascii="仿宋_GB2312" w:eastAsia="仿宋_GB2312" w:hAnsi="仿宋_GB2312" w:cs="仿宋_GB2312" w:hint="eastAsia"/>
          <w:color w:val="auto"/>
          <w:spacing w:val="2"/>
          <w:w w:val="100"/>
          <w:highlight w:val="none"/>
          <w:lang w:eastAsia="zh-CN"/>
        </w:rPr>
        <w:t>用</w:t>
      </w:r>
      <w:r>
        <w:rPr>
          <w:rFonts w:ascii="仿宋_GB2312" w:eastAsia="仿宋_GB2312" w:hAnsi="仿宋_GB2312" w:cs="仿宋_GB2312" w:hint="eastAsia"/>
          <w:color w:val="auto"/>
          <w:w w:val="100"/>
          <w:highlight w:val="none"/>
          <w:lang w:eastAsia="zh-CN"/>
        </w:rPr>
        <w:t>绝</w:t>
      </w:r>
      <w:r>
        <w:rPr>
          <w:rFonts w:ascii="仿宋_GB2312" w:eastAsia="仿宋_GB2312" w:hAnsi="仿宋_GB2312" w:cs="仿宋_GB2312" w:hint="eastAsia"/>
          <w:color w:val="auto"/>
          <w:spacing w:val="2"/>
          <w:w w:val="100"/>
          <w:highlight w:val="none"/>
          <w:lang w:eastAsia="zh-CN"/>
        </w:rPr>
        <w:t>对</w:t>
      </w:r>
      <w:r>
        <w:rPr>
          <w:rFonts w:ascii="仿宋_GB2312" w:eastAsia="仿宋_GB2312" w:hAnsi="仿宋_GB2312" w:cs="仿宋_GB2312" w:hint="eastAsia"/>
          <w:color w:val="auto"/>
          <w:w w:val="100"/>
          <w:highlight w:val="none"/>
          <w:lang w:eastAsia="zh-CN"/>
        </w:rPr>
        <w:t>价格</w:t>
      </w:r>
      <w:r>
        <w:rPr>
          <w:rFonts w:ascii="仿宋_GB2312" w:eastAsia="仿宋_GB2312" w:hAnsi="仿宋_GB2312" w:cs="仿宋_GB2312" w:hint="eastAsia"/>
          <w:color w:val="auto"/>
          <w:spacing w:val="2"/>
          <w:w w:val="100"/>
          <w:highlight w:val="none"/>
          <w:lang w:eastAsia="zh-CN"/>
        </w:rPr>
        <w:t>形</w:t>
      </w:r>
      <w:r>
        <w:rPr>
          <w:rFonts w:ascii="仿宋_GB2312" w:eastAsia="仿宋_GB2312" w:hAnsi="仿宋_GB2312" w:cs="仿宋_GB2312" w:hint="eastAsia"/>
          <w:color w:val="auto"/>
          <w:w w:val="100"/>
          <w:highlight w:val="none"/>
          <w:lang w:eastAsia="zh-CN"/>
        </w:rPr>
        <w:t>式。</w:t>
      </w:r>
    </w:p>
    <w:p>
      <w:pPr>
        <w:pStyle w:val="BodyText"/>
        <w:pageBreakBefore w:val="0"/>
        <w:kinsoku/>
        <w:wordWrap/>
        <w:overflowPunct/>
        <w:topLinePunct w:val="0"/>
        <w:autoSpaceDE/>
        <w:autoSpaceDN/>
        <w:bidi w:val="0"/>
        <w:adjustRightInd/>
        <w:spacing w:line="560" w:lineRule="exact"/>
        <w:ind w:left="0" w:right="0" w:firstLine="640" w:firstLineChars="200"/>
        <w:jc w:val="both"/>
        <w:textAlignment w:val="auto"/>
        <w:rPr>
          <w:rFonts w:ascii="仿宋_GB2312" w:eastAsia="仿宋_GB2312" w:hAnsi="仿宋_GB2312" w:cs="仿宋_GB2312"/>
          <w:color w:val="auto"/>
          <w:w w:val="100"/>
          <w:highlight w:val="none"/>
          <w:lang w:eastAsia="zh-CN"/>
        </w:rPr>
      </w:pPr>
      <w:r>
        <w:rPr>
          <w:rFonts w:ascii="仿宋_GB2312" w:eastAsia="仿宋_GB2312" w:hAnsi="仿宋_GB2312" w:cs="仿宋_GB2312" w:hint="eastAsia"/>
          <w:color w:val="auto"/>
          <w:w w:val="100"/>
          <w:highlight w:val="none"/>
          <w:lang w:eastAsia="zh-CN"/>
        </w:rPr>
        <w:t>（</w:t>
      </w:r>
      <w:r>
        <w:rPr>
          <w:rFonts w:ascii="仿宋_GB2312" w:eastAsia="仿宋_GB2312" w:hAnsi="仿宋_GB2312" w:cs="仿宋_GB2312" w:hint="eastAsia"/>
          <w:color w:val="auto"/>
          <w:w w:val="100"/>
          <w:highlight w:val="none"/>
          <w:lang w:val="en-US" w:eastAsia="zh-CN"/>
        </w:rPr>
        <w:t>8</w:t>
      </w:r>
      <w:r>
        <w:rPr>
          <w:rFonts w:ascii="仿宋_GB2312" w:eastAsia="仿宋_GB2312" w:hAnsi="仿宋_GB2312" w:cs="仿宋_GB2312" w:hint="eastAsia"/>
          <w:color w:val="auto"/>
          <w:w w:val="100"/>
          <w:highlight w:val="none"/>
          <w:lang w:eastAsia="zh-CN"/>
        </w:rPr>
        <w:t>）分解曲线。指合同电量在合同周期内按照一定比例进行分解的电力特性曲线。</w:t>
      </w:r>
    </w:p>
    <w:p>
      <w:pPr>
        <w:pStyle w:val="BodyText"/>
        <w:pageBreakBefore w:val="0"/>
        <w:numPr>
          <w:ilvl w:val="255"/>
          <w:numId w:val="0"/>
        </w:numPr>
        <w:kinsoku/>
        <w:wordWrap/>
        <w:overflowPunct/>
        <w:topLinePunct w:val="0"/>
        <w:autoSpaceDE/>
        <w:autoSpaceDN/>
        <w:bidi w:val="0"/>
        <w:adjustRightInd/>
        <w:spacing w:line="560" w:lineRule="exact"/>
        <w:ind w:left="0" w:right="0" w:firstLine="640" w:firstLineChars="200"/>
        <w:jc w:val="both"/>
        <w:textAlignment w:val="auto"/>
        <w:rPr>
          <w:rFonts w:ascii="仿宋_GB2312" w:eastAsia="仿宋_GB2312" w:hAnsi="仿宋_GB2312" w:cs="仿宋_GB2312" w:hint="eastAsia"/>
          <w:color w:val="auto"/>
          <w:w w:val="100"/>
          <w:position w:val="-4"/>
          <w:highlight w:val="none"/>
          <w:lang w:eastAsia="zh-CN"/>
        </w:rPr>
      </w:pPr>
      <w:r>
        <w:rPr>
          <w:rFonts w:ascii="仿宋_GB2312" w:eastAsia="仿宋_GB2312" w:hAnsi="仿宋_GB2312" w:cs="仿宋_GB2312"/>
          <w:color w:val="auto"/>
          <w:w w:val="100"/>
          <w:position w:val="-4"/>
          <w:highlight w:val="none"/>
          <w:lang w:eastAsia="zh-CN"/>
        </w:rPr>
        <w:t>（</w:t>
      </w:r>
      <w:r>
        <w:rPr>
          <w:rFonts w:ascii="仿宋_GB2312" w:eastAsia="仿宋_GB2312" w:hAnsi="仿宋_GB2312" w:cs="仿宋_GB2312" w:hint="eastAsia"/>
          <w:color w:val="auto"/>
          <w:w w:val="100"/>
          <w:position w:val="-4"/>
          <w:highlight w:val="none"/>
          <w:lang w:val="en-US" w:eastAsia="zh-CN"/>
        </w:rPr>
        <w:t>9</w:t>
      </w:r>
      <w:r>
        <w:rPr>
          <w:rFonts w:ascii="仿宋_GB2312" w:eastAsia="仿宋_GB2312" w:hAnsi="仿宋_GB2312" w:cs="仿宋_GB2312"/>
          <w:color w:val="auto"/>
          <w:w w:val="100"/>
          <w:position w:val="-4"/>
          <w:highlight w:val="none"/>
          <w:lang w:eastAsia="zh-CN"/>
        </w:rPr>
        <w:t>）交易</w:t>
      </w:r>
      <w:r>
        <w:rPr>
          <w:rFonts w:ascii="仿宋_GB2312" w:eastAsia="仿宋_GB2312" w:hAnsi="仿宋_GB2312" w:cs="仿宋_GB2312" w:hint="eastAsia"/>
          <w:color w:val="auto"/>
          <w:w w:val="100"/>
          <w:position w:val="-4"/>
          <w:highlight w:val="none"/>
          <w:lang w:val="en-US" w:eastAsia="zh-CN"/>
        </w:rPr>
        <w:t>平台</w:t>
      </w:r>
      <w:r>
        <w:rPr>
          <w:rFonts w:ascii="仿宋_GB2312" w:eastAsia="仿宋_GB2312" w:hAnsi="仿宋_GB2312" w:cs="仿宋_GB2312"/>
          <w:color w:val="auto"/>
          <w:w w:val="100"/>
          <w:position w:val="-4"/>
          <w:highlight w:val="none"/>
          <w:lang w:eastAsia="zh-CN"/>
        </w:rPr>
        <w:t>。指南方区域统一电力交易平台</w:t>
      </w:r>
      <w:r>
        <w:rPr>
          <w:rFonts w:ascii="仿宋_GB2312" w:eastAsia="仿宋_GB2312" w:hAnsi="仿宋_GB2312" w:cs="仿宋_GB2312" w:hint="eastAsia"/>
          <w:color w:val="auto"/>
          <w:w w:val="100"/>
          <w:position w:val="-4"/>
          <w:highlight w:val="none"/>
          <w:lang w:eastAsia="zh-CN"/>
        </w:rPr>
        <w:t>。</w:t>
      </w:r>
    </w:p>
    <w:p>
      <w:pPr>
        <w:pStyle w:val="BodyText"/>
        <w:spacing w:line="560" w:lineRule="exact"/>
        <w:ind w:firstLine="640" w:firstLineChars="200"/>
        <w:jc w:val="both"/>
        <w:rPr>
          <w:rFonts w:ascii="仿宋_GB2312" w:eastAsia="仿宋_GB2312" w:hAnsi="仿宋_GB2312" w:cs="仿宋_GB2312" w:hint="eastAsia"/>
          <w:color w:val="auto"/>
          <w:highlight w:val="none"/>
          <w:lang w:eastAsia="zh-CN"/>
        </w:rPr>
      </w:pPr>
      <w:r>
        <w:rPr>
          <w:rFonts w:ascii="仿宋_GB2312" w:eastAsia="仿宋_GB2312" w:hAnsi="仿宋_GB2312" w:cs="仿宋_GB2312" w:hint="eastAsia"/>
          <w:color w:val="auto"/>
          <w:w w:val="100"/>
          <w:position w:val="0"/>
          <w:highlight w:val="none"/>
          <w:lang w:eastAsia="zh-CN"/>
        </w:rPr>
        <w:t>（</w:t>
      </w:r>
      <w:r>
        <w:rPr>
          <w:rFonts w:ascii="仿宋_GB2312" w:eastAsia="仿宋_GB2312" w:hAnsi="仿宋_GB2312" w:cs="仿宋_GB2312" w:hint="eastAsia"/>
          <w:color w:val="auto"/>
          <w:w w:val="100"/>
          <w:position w:val="0"/>
          <w:highlight w:val="none"/>
          <w:lang w:val="en-US" w:eastAsia="zh-CN"/>
        </w:rPr>
        <w:t>10</w:t>
      </w:r>
      <w:r>
        <w:rPr>
          <w:rFonts w:ascii="仿宋_GB2312" w:eastAsia="仿宋_GB2312" w:hAnsi="仿宋_GB2312" w:cs="仿宋_GB2312" w:hint="eastAsia"/>
          <w:color w:val="auto"/>
          <w:w w:val="100"/>
          <w:position w:val="0"/>
          <w:highlight w:val="none"/>
          <w:lang w:eastAsia="zh-CN"/>
        </w:rPr>
        <w:t>）</w:t>
      </w:r>
      <w:r>
        <w:rPr>
          <w:rFonts w:ascii="仿宋_GB2312" w:eastAsia="仿宋_GB2312" w:hAnsi="仿宋_GB2312" w:cs="仿宋_GB2312" w:hint="eastAsia"/>
          <w:color w:val="auto"/>
          <w:highlight w:val="none"/>
          <w:lang w:eastAsia="zh-CN"/>
        </w:rPr>
        <w:t>绿色电力交易是指以绿色电力和对应绿色电力环境价值为标的物的电力交易品种，交易电力同时提供国家核发的绿证，用以满足发电企业、售电公司、电力用户等出售、购买绿色电力的需求。</w:t>
      </w:r>
    </w:p>
    <w:sectPr>
      <w:headerReference w:type="default" r:id="rId6"/>
      <w:footerReference w:type="default" r:id="rId7"/>
      <w:pgSz w:w="11906" w:h="16840"/>
      <w:pgMar w:top="1440" w:right="1803" w:bottom="1440" w:left="1803" w:header="850" w:footer="992" w:gutter="0"/>
      <w:pgNumType w:fmt="decimal"/>
      <w:cols w:num="1"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embedRegular r:id="rId1" w:subsetted="1" w:fontKey="{51977E53-5C04-4068-8107-DC48B27A561B}"/>
  </w:font>
  <w:font w:name="黑体">
    <w:panose1 w:val="02010609060101010101"/>
    <w:charset w:val="86"/>
    <w:family w:val="auto"/>
    <w:pitch w:val="default"/>
    <w:sig w:usb0="800002BF" w:usb1="38CF7CFA" w:usb2="00000016" w:usb3="00000000" w:csb0="00040001" w:csb1="00000000"/>
    <w:embedRegular r:id="rId2" w:subsetted="1" w:fontKey="{ECEBC00A-7D2F-47E0-828B-D308B2599639}"/>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embedRegular r:id="rId3" w:subsetted="1" w:fontKey="{0DA3AC3F-F607-499A-8067-8CBD5CFC8E8A}"/>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4" w:subsetted="1" w:fontKey="{881D791A-1E05-49AF-9F01-BCF960FB04F2}"/>
  </w:font>
  <w:font w:name="华文仿宋">
    <w:altName w:val="仿宋"/>
    <w:panose1 w:val="02010600040101010101"/>
    <w:charset w:val="86"/>
    <w:family w:val="auto"/>
    <w:pitch w:val="default"/>
    <w:sig w:usb0="00000000" w:usb1="00000000" w:usb2="00000000" w:usb3="00000000" w:csb0="0004009F" w:csb1="DFD70000"/>
  </w:font>
  <w:font w:name="等线 Light">
    <w:altName w:val="宋体"/>
    <w:panose1 w:val="02010600030101010101"/>
    <w:charset w:val="86"/>
    <w:family w:val="auto"/>
    <w:pitch w:val="default"/>
    <w:sig w:usb0="00000000" w:usb1="00000000" w:usb2="00000016" w:usb3="00000000" w:csb0="0004000F" w:csb1="00000000"/>
  </w:font>
  <w:font w:name="方正小标宋_GBK">
    <w:panose1 w:val="03000509000000000000"/>
    <w:charset w:val="86"/>
    <w:family w:val="auto"/>
    <w:pitch w:val="default"/>
    <w:sig w:usb0="00000001" w:usb1="080E0000" w:usb2="00000000" w:usb3="00000000" w:csb0="00040000" w:csb1="00000000"/>
    <w:embedRegular r:id="rId5" w:subsetted="1" w:fontKey="{0734DD66-6067-482F-95A5-AE64024F1C1C}"/>
  </w:font>
  <w:font w:name="楷体">
    <w:panose1 w:val="02010609060101010101"/>
    <w:charset w:val="86"/>
    <w:family w:val="auto"/>
    <w:pitch w:val="default"/>
    <w:sig w:usb0="800002BF" w:usb1="38CF7CFA" w:usb2="00000016" w:usb3="00000000" w:csb0="00040001" w:csb1="00000000"/>
    <w:embedRegular r:id="rId6" w:subsetted="1" w:fontKey="{14183C15-75FC-4EAE-912A-94ED8138D475}"/>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00" w:lineRule="exact"/>
      <w:jc w:val="center"/>
      <w:rPr>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t>—</w:t>
                          </w:r>
                          <w:r>
                            <w:fldChar w:fldCharType="begin"/>
                          </w:r>
                          <w:r>
                            <w:instrText xml:space="preserve"> PAGE  \* MERGEFORMAT </w:instrText>
                          </w:r>
                          <w:r>
                            <w:fldChar w:fldCharType="separate"/>
                          </w:r>
                          <w:r>
                            <w:t>1</w:t>
                          </w:r>
                          <w:r>
                            <w:fldChar w:fldCharType="end"/>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0"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pPr>
                      <w:pStyle w:val="Footer"/>
                    </w:pPr>
                    <w:r>
                      <w:t>—</w:t>
                    </w:r>
                    <w:r>
                      <w:fldChar w:fldCharType="begin"/>
                    </w:r>
                    <w:r>
                      <w:instrText xml:space="preserve"> PAGE  \* MERGEFORMAT </w:instrText>
                    </w:r>
                    <w:r>
                      <w:fldChar w:fldCharType="separate"/>
                    </w:r>
                    <w:r>
                      <w:t>1</w:t>
                    </w:r>
                    <w:r>
                      <w:fldChar w:fldCharType="end"/>
                    </w:r>
                    <w: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
        <w:separator/>
      </w:r>
    </w:p>
  </w:footnote>
  <w:footnote w:type="continuationSeparator" w:id="1">
    <w:p>
      <w:r>
        <w:continuationSeparator/>
      </w:r>
    </w:p>
  </w:footnote>
  <w:footnote w:id="2">
    <w:p>
      <w:pPr>
        <w:pStyle w:val="FootnoteText"/>
        <w:snapToGrid w:val="0"/>
        <w:rPr>
          <w:rFonts w:eastAsia="宋体" w:hint="default"/>
          <w:lang w:val="en-US" w:eastAsia="zh-CN"/>
        </w:rPr>
      </w:pPr>
      <w:r>
        <w:rPr>
          <w:rStyle w:val="FootnoteReference"/>
        </w:rPr>
        <w:footnoteRef/>
      </w:r>
      <w:r>
        <w:rPr>
          <w:rFonts w:eastAsia="宋体" w:hint="eastAsia"/>
          <w:lang w:val="en-US" w:eastAsia="zh-CN"/>
        </w:rPr>
        <w:t>若该发电交易单元选择不参与日前市场，则改为发电交易单元实时出清价格</w:t>
      </w:r>
    </w:p>
  </w:footnote>
  <w:footnote w:id="3">
    <w:p>
      <w:pPr>
        <w:pStyle w:val="FootnoteText"/>
        <w:snapToGrid w:val="0"/>
        <w:rPr>
          <w:rFonts w:ascii="仿宋_GB2312" w:eastAsia="仿宋_GB2312" w:hAnsi="仿宋_GB2312" w:cs="仿宋_GB2312" w:hint="eastAsia"/>
          <w:lang w:val="en-US" w:eastAsia="zh-CN"/>
        </w:rPr>
      </w:pPr>
      <w:r>
        <w:rPr>
          <w:rFonts w:ascii="仿宋_GB2312" w:eastAsia="仿宋_GB2312" w:hAnsi="仿宋_GB2312" w:cs="仿宋_GB2312" w:hint="eastAsia"/>
          <w:lang w:val="en-US" w:eastAsia="zh-CN"/>
        </w:rPr>
        <w:footnoteRef/>
      </w:r>
      <w:r>
        <w:rPr>
          <w:rFonts w:ascii="仿宋_GB2312" w:eastAsia="仿宋_GB2312" w:hAnsi="仿宋_GB2312" w:cs="仿宋_GB2312" w:hint="eastAsia"/>
          <w:lang w:val="en-US" w:eastAsia="zh-CN"/>
        </w:rPr>
        <w:t>为保障电力供应和电网安全运行，调度机构可依据实际情况，设置发电机组总最小发电能力，若未设置，默认为零，下同。</w:t>
      </w:r>
    </w:p>
  </w:footnote>
  <w:footnote w:id="4">
    <w:p>
      <w:pPr>
        <w:pStyle w:val="FootnoteText"/>
        <w:snapToGrid w:val="0"/>
        <w:rPr>
          <w:rFonts w:ascii="仿宋_GB2312" w:eastAsia="仿宋_GB2312" w:hAnsi="仿宋_GB2312" w:cs="仿宋_GB2312" w:hint="eastAsia"/>
          <w:lang w:val="en-US" w:eastAsia="zh-CN"/>
        </w:rPr>
      </w:pPr>
      <w:r>
        <w:rPr>
          <w:rFonts w:eastAsia="宋体"/>
          <w:lang w:eastAsia="zh-CN"/>
        </w:rPr>
        <w:footnoteRef/>
      </w:r>
      <w:r>
        <w:rPr>
          <w:rFonts w:ascii="仿宋_GB2312" w:eastAsia="仿宋_GB2312" w:hAnsi="仿宋_GB2312" w:cs="仿宋_GB2312" w:hint="eastAsia"/>
          <w:lang w:val="en-US" w:eastAsia="zh-CN"/>
        </w:rPr>
        <w:t>若扣除后</w:t>
      </w:r>
      <w:r>
        <w:rPr>
          <w:rFonts w:ascii="仿宋_GB2312" w:eastAsia="仿宋_GB2312" w:hAnsi="仿宋_GB2312" w:cs="仿宋_GB2312" w:hint="eastAsia"/>
          <w:lang w:eastAsia="zh-CN"/>
        </w:rPr>
        <w:t>总合同电量净值</w:t>
      </w:r>
      <w:r>
        <w:rPr>
          <w:rFonts w:ascii="仿宋_GB2312" w:eastAsia="仿宋_GB2312" w:hAnsi="仿宋_GB2312" w:cs="仿宋_GB2312" w:hint="eastAsia"/>
          <w:lang w:val="en-US" w:eastAsia="zh-CN"/>
        </w:rPr>
        <w:t>上下限为负值，则默认为零。</w:t>
      </w:r>
    </w:p>
  </w:footnote>
  <w:footnote w:id="5">
    <w:p>
      <w:pPr>
        <w:pStyle w:val="FootnoteText"/>
        <w:snapToGrid w:val="0"/>
        <w:rPr>
          <w:rFonts w:ascii="仿宋_GB2312" w:eastAsia="仿宋_GB2312" w:hAnsi="仿宋_GB2312" w:cs="仿宋_GB2312" w:hint="eastAsia"/>
          <w:lang w:val="en-US" w:eastAsia="zh-CN"/>
        </w:rPr>
      </w:pPr>
      <w:r>
        <w:rPr>
          <w:rFonts w:ascii="仿宋_GB2312" w:eastAsia="仿宋_GB2312" w:hAnsi="仿宋_GB2312" w:cs="仿宋_GB2312" w:hint="eastAsia"/>
          <w:lang w:val="en-US" w:eastAsia="zh-CN"/>
        </w:rPr>
        <w:footnoteRef/>
      </w:r>
      <w:r>
        <w:rPr>
          <w:rFonts w:ascii="仿宋_GB2312" w:eastAsia="仿宋_GB2312" w:hAnsi="仿宋_GB2312" w:cs="仿宋_GB2312" w:hint="eastAsia"/>
          <w:lang w:val="en-US" w:eastAsia="zh-CN"/>
        </w:rPr>
        <w:t>分时段合同电量净值：同一时段内，多次买入、卖出互相抵消后的合同电量代数和。</w:t>
      </w:r>
    </w:p>
  </w:footnote>
  <w:footnote w:id="6">
    <w:p>
      <w:pPr>
        <w:pStyle w:val="FootnoteText"/>
        <w:snapToGrid w:val="0"/>
        <w:rPr>
          <w:rFonts w:ascii="仿宋_GB2312" w:eastAsia="仿宋_GB2312" w:hAnsi="仿宋_GB2312" w:cs="仿宋_GB2312" w:hint="default"/>
          <w:lang w:val="en-US" w:eastAsia="zh-CN"/>
        </w:rPr>
      </w:pPr>
      <w:r>
        <w:rPr>
          <w:rFonts w:ascii="仿宋_GB2312" w:eastAsia="仿宋_GB2312" w:hAnsi="仿宋_GB2312" w:cs="仿宋_GB2312" w:hint="eastAsia"/>
          <w:lang w:val="en-US" w:eastAsia="zh-CN"/>
        </w:rPr>
        <w:footnoteRef/>
      </w:r>
      <w:r>
        <w:rPr>
          <w:rFonts w:ascii="仿宋_GB2312" w:eastAsia="仿宋_GB2312" w:hAnsi="仿宋_GB2312" w:cs="仿宋_GB2312" w:hint="eastAsia"/>
          <w:lang w:val="en-US" w:eastAsia="zh-CN"/>
        </w:rPr>
        <w:t>若无，则为0。</w:t>
      </w:r>
    </w:p>
  </w:footnote>
  <w:footnote w:id="7">
    <w:p>
      <w:pPr>
        <w:pStyle w:val="FootnoteText"/>
        <w:snapToGrid w:val="0"/>
        <w:rPr>
          <w:rFonts w:ascii="仿宋_GB2312" w:eastAsia="仿宋_GB2312" w:hAnsi="仿宋_GB2312" w:cs="仿宋_GB2312" w:hint="eastAsia"/>
          <w:lang w:val="en-US" w:eastAsia="zh-CN"/>
        </w:rPr>
      </w:pPr>
      <w:r>
        <w:rPr>
          <w:rFonts w:ascii="仿宋_GB2312" w:eastAsia="仿宋_GB2312" w:hAnsi="仿宋_GB2312" w:cs="仿宋_GB2312" w:hint="eastAsia"/>
          <w:lang w:val="en-US" w:eastAsia="zh-CN"/>
        </w:rPr>
        <w:footnoteRef/>
      </w:r>
      <w:r>
        <w:rPr>
          <w:rFonts w:ascii="仿宋_GB2312" w:eastAsia="仿宋_GB2312" w:hAnsi="仿宋_GB2312" w:cs="仿宋_GB2312" w:hint="eastAsia"/>
          <w:lang w:val="en-US" w:eastAsia="zh-CN"/>
        </w:rPr>
        <w:t>剩余最大发电能力=调度机构发布的最大发电能力-总合同电量净值。</w:t>
      </w:r>
    </w:p>
  </w:footnote>
  <w:footnote w:id="8">
    <w:p>
      <w:pPr>
        <w:pStyle w:val="FootnoteText"/>
        <w:snapToGrid w:val="0"/>
        <w:rPr>
          <w:rFonts w:ascii="仿宋_GB2312" w:eastAsia="仿宋_GB2312" w:hAnsi="仿宋_GB2312" w:cs="仿宋_GB2312" w:hint="eastAsia"/>
          <w:lang w:val="en-US" w:eastAsia="zh-CN"/>
        </w:rPr>
      </w:pPr>
      <w:r>
        <w:rPr>
          <w:rFonts w:ascii="仿宋_GB2312" w:eastAsia="仿宋_GB2312" w:hAnsi="仿宋_GB2312" w:cs="仿宋_GB2312" w:hint="eastAsia"/>
          <w:lang w:val="en-US" w:eastAsia="zh-CN"/>
        </w:rPr>
        <w:footnoteRef/>
      </w:r>
      <w:r>
        <w:rPr>
          <w:rFonts w:ascii="仿宋_GB2312" w:eastAsia="仿宋_GB2312" w:hAnsi="仿宋_GB2312" w:cs="仿宋_GB2312" w:hint="eastAsia"/>
          <w:lang w:val="en-US" w:eastAsia="zh-CN"/>
        </w:rPr>
        <w:t>电力批发用户剩余可交易电量额度=总合同电量净值上限-合同电量净值。</w:t>
      </w:r>
    </w:p>
  </w:footnote>
  <w:footnote w:id="9">
    <w:p>
      <w:pPr>
        <w:pStyle w:val="FootnoteText"/>
        <w:snapToGrid w:val="0"/>
        <w:rPr>
          <w:rFonts w:ascii="仿宋_GB2312" w:eastAsia="仿宋_GB2312" w:hAnsi="仿宋_GB2312" w:cs="仿宋_GB2312" w:hint="eastAsia"/>
          <w:lang w:val="en-US" w:eastAsia="zh-CN"/>
        </w:rPr>
      </w:pPr>
      <w:r>
        <w:rPr>
          <w:rFonts w:ascii="仿宋_GB2312" w:eastAsia="仿宋_GB2312" w:hAnsi="仿宋_GB2312" w:cs="仿宋_GB2312" w:hint="eastAsia"/>
          <w:lang w:val="en-US" w:eastAsia="zh-CN"/>
        </w:rPr>
        <w:footnoteRef/>
      </w:r>
      <w:r>
        <w:rPr>
          <w:rFonts w:ascii="仿宋_GB2312" w:eastAsia="仿宋_GB2312" w:hAnsi="仿宋_GB2312" w:cs="仿宋_GB2312" w:hint="eastAsia"/>
          <w:lang w:val="en-US" w:eastAsia="zh-CN"/>
        </w:rPr>
        <w:t>售电公司剩余可交易电量额度=总合同电量净值上限-合同电量净值。</w:t>
      </w:r>
    </w:p>
  </w:footnote>
  <w:footnote w:id="10">
    <w:p>
      <w:pPr>
        <w:pStyle w:val="FootnoteText"/>
        <w:snapToGrid w:val="0"/>
        <w:rPr>
          <w:rFonts w:hint="default"/>
          <w:lang w:val="en-US"/>
        </w:rPr>
      </w:pPr>
      <w:r>
        <w:rPr>
          <w:rStyle w:val="FootnoteReference"/>
          <w:vertAlign w:val="baseline"/>
        </w:rPr>
        <w:footnoteRef/>
      </w:r>
      <w:r>
        <w:rPr>
          <w:rFonts w:ascii="仿宋_GB2312" w:eastAsia="仿宋_GB2312" w:hAnsi="仿宋_GB2312" w:cs="仿宋_GB2312" w:hint="eastAsia"/>
          <w:lang w:val="en-US" w:eastAsia="zh-CN"/>
        </w:rPr>
        <w:t>独立储能剩余可交易电量额度=总合同电量净值上限-合同电量净值，下同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bottom w:val="single" w:sz="4" w:space="0" w:color="auto"/>
      </w:pBdr>
      <w:tabs>
        <w:tab w:val="left" w:pos="8910"/>
      </w:tabs>
      <w:spacing w:line="200" w:lineRule="exact"/>
      <w:rPr>
        <w:sz w:val="20"/>
        <w:szCs w:val="20"/>
      </w:rPr>
    </w:pPr>
    <w:r>
      <mc:AlternateContent>
        <mc:Choice Requires="wps">
          <w:drawing>
            <wp:anchor distT="0" distB="0" distL="0" distR="0" simplePos="0" relativeHeight="251658240" behindDoc="1" locked="0" layoutInCell="1" allowOverlap="1">
              <wp:simplePos x="0" y="0"/>
              <wp:positionH relativeFrom="page">
                <wp:posOffset>1064895</wp:posOffset>
              </wp:positionH>
              <wp:positionV relativeFrom="page">
                <wp:posOffset>506730</wp:posOffset>
              </wp:positionV>
              <wp:extent cx="5436870" cy="189865"/>
              <wp:effectExtent l="0" t="0" r="0" b="0"/>
              <wp:wrapNone/>
              <wp:docPr id="4100" name="文本框 1027"/>
              <wp:cNvGraphicFramePr/>
              <a:graphic xmlns:a="http://schemas.openxmlformats.org/drawingml/2006/main">
                <a:graphicData uri="http://schemas.microsoft.com/office/word/2010/wordprocessingShape">
                  <wps:wsp xmlns:wps="http://schemas.microsoft.com/office/word/2010/wordprocessingShape">
                    <wps:cNvSpPr/>
                    <wps:spPr>
                      <a:xfrm>
                        <a:off x="0" y="0"/>
                        <a:ext cx="5436870" cy="189865"/>
                      </a:xfrm>
                      <a:prstGeom prst="rect">
                        <a:avLst/>
                      </a:prstGeom>
                      <a:ln>
                        <a:noFill/>
                      </a:ln>
                    </wps:spPr>
                    <wps:txbx>
                      <w:txbxContent>
                        <w:p>
                          <w:pPr>
                            <w:jc w:val="center"/>
                            <w:rPr>
                              <w:rFonts w:ascii="黑体" w:eastAsia="黑体" w:hAnsi="黑体" w:cs="黑体" w:hint="eastAsia"/>
                              <w:sz w:val="18"/>
                              <w:szCs w:val="18"/>
                              <w:lang w:val="en-US" w:eastAsia="zh-CN"/>
                            </w:rPr>
                          </w:pPr>
                          <w:r>
                            <w:rPr>
                              <w:rFonts w:ascii="黑体" w:eastAsia="黑体" w:hAnsi="黑体" w:cs="黑体" w:hint="eastAsia"/>
                              <w:sz w:val="18"/>
                              <w:szCs w:val="18"/>
                              <w:lang w:eastAsia="zh-CN"/>
                            </w:rPr>
                            <w:t>海南电力市场中长期电能量交易实施细则（2025年V</w:t>
                          </w:r>
                          <w:r>
                            <w:rPr>
                              <w:rFonts w:ascii="黑体" w:eastAsia="黑体" w:hAnsi="黑体" w:cs="黑体" w:hint="eastAsia"/>
                              <w:sz w:val="18"/>
                              <w:szCs w:val="18"/>
                              <w:lang w:val="en-US" w:eastAsia="zh-CN"/>
                            </w:rPr>
                            <w:t>1.1</w:t>
                          </w:r>
                          <w:r>
                            <w:rPr>
                              <w:rFonts w:ascii="黑体" w:eastAsia="黑体" w:hAnsi="黑体" w:cs="黑体" w:hint="eastAsia"/>
                              <w:sz w:val="18"/>
                              <w:szCs w:val="18"/>
                              <w:lang w:eastAsia="zh-CN"/>
                            </w:rPr>
                            <w:t>版）</w:t>
                          </w:r>
                        </w:p>
                      </w:txbxContent>
                    </wps:txbx>
                    <wps:bodyPr lIns="0" tIns="0" rIns="0" bIns="0" upright="1"/>
                  </wps:wsp>
                </a:graphicData>
              </a:graphic>
            </wp:anchor>
          </w:drawing>
        </mc:Choice>
        <mc:Fallback>
          <w:pict>
            <v:rect id="文本框 1027" o:spid="_x0000_s2049" style="width:428.1pt;height:14.95pt;margin-top:39.9pt;margin-left:83.85pt;mso-height-relative:page;mso-position-horizontal-relative:page;mso-position-vertical-relative:page;mso-width-relative:page;position:absolute;z-index:-251657216" coordsize="21600,21600" filled="f" stroked="f">
              <o:lock v:ext="edit" aspectratio="f"/>
              <v:textbox inset="0,0,0,0">
                <w:txbxContent>
                  <w:p>
                    <w:pPr>
                      <w:jc w:val="center"/>
                      <w:rPr>
                        <w:rFonts w:ascii="黑体" w:eastAsia="黑体" w:hAnsi="黑体" w:cs="黑体" w:hint="eastAsia"/>
                        <w:sz w:val="18"/>
                        <w:szCs w:val="18"/>
                        <w:lang w:val="en-US" w:eastAsia="zh-CN"/>
                      </w:rPr>
                    </w:pPr>
                    <w:r>
                      <w:rPr>
                        <w:rFonts w:ascii="黑体" w:eastAsia="黑体" w:hAnsi="黑体" w:cs="黑体" w:hint="eastAsia"/>
                        <w:sz w:val="18"/>
                        <w:szCs w:val="18"/>
                        <w:lang w:eastAsia="zh-CN"/>
                      </w:rPr>
                      <w:t>海南电力市场中长期电能量交易实施细则（2025年V</w:t>
                    </w:r>
                    <w:r>
                      <w:rPr>
                        <w:rFonts w:ascii="黑体" w:eastAsia="黑体" w:hAnsi="黑体" w:cs="黑体" w:hint="eastAsia"/>
                        <w:sz w:val="18"/>
                        <w:szCs w:val="18"/>
                        <w:lang w:val="en-US" w:eastAsia="zh-CN"/>
                      </w:rPr>
                      <w:t>1.1</w:t>
                    </w:r>
                    <w:r>
                      <w:rPr>
                        <w:rFonts w:ascii="黑体" w:eastAsia="黑体" w:hAnsi="黑体" w:cs="黑体" w:hint="eastAsia"/>
                        <w:sz w:val="18"/>
                        <w:szCs w:val="18"/>
                        <w:lang w:eastAsia="zh-CN"/>
                      </w:rPr>
                      <w:t>版）</w:t>
                    </w:r>
                  </w:p>
                </w:txbxContent>
              </v:textbox>
            </v:rect>
          </w:pict>
        </mc:Fallback>
      </mc:AlternateConten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交易中心文书">
    <w15:presenceInfo w15:providerId="None" w15:userId="交易中心文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TrueTypeFonts/>
  <w:saveSubsetFonts/>
  <w:revisionView w:comments="1" w:formatting="1" w:inkAnnotations="1" w:insDel="1" w:markup="0"/>
  <w:trackRevisions/>
  <w:defaultTabStop w:val="720"/>
  <w:drawingGridHorizontalSpacing w:val="110"/>
  <w:noPunctuationKerning/>
  <w:characterSpacingControl w:val="doNotCompress"/>
  <w:footnotePr>
    <w:footnote w:id="0"/>
    <w:footnote w:id="1"/>
  </w:foot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1CE"/>
    <w:rsid w:val="001C1F51"/>
    <w:rsid w:val="0028760B"/>
    <w:rsid w:val="0040557A"/>
    <w:rsid w:val="008F08E7"/>
    <w:rsid w:val="00A74A7F"/>
    <w:rsid w:val="00BD5310"/>
    <w:rsid w:val="00DD4680"/>
    <w:rsid w:val="00E01DC9"/>
    <w:rsid w:val="00E101CE"/>
    <w:rsid w:val="01211AD4"/>
    <w:rsid w:val="020C4279"/>
    <w:rsid w:val="02A12A14"/>
    <w:rsid w:val="02CE3596"/>
    <w:rsid w:val="02F2197A"/>
    <w:rsid w:val="03604D65"/>
    <w:rsid w:val="049D0000"/>
    <w:rsid w:val="04EA7480"/>
    <w:rsid w:val="05340028"/>
    <w:rsid w:val="054D2CF8"/>
    <w:rsid w:val="074107DA"/>
    <w:rsid w:val="07BE2B1B"/>
    <w:rsid w:val="07E801F2"/>
    <w:rsid w:val="08061376"/>
    <w:rsid w:val="080674B8"/>
    <w:rsid w:val="081957BA"/>
    <w:rsid w:val="082A736A"/>
    <w:rsid w:val="093323A4"/>
    <w:rsid w:val="09C86F91"/>
    <w:rsid w:val="09CC1551"/>
    <w:rsid w:val="09F22CAC"/>
    <w:rsid w:val="0A534D84"/>
    <w:rsid w:val="0B7030D5"/>
    <w:rsid w:val="0BD75BB1"/>
    <w:rsid w:val="0C372AD2"/>
    <w:rsid w:val="0CA27048"/>
    <w:rsid w:val="0CE05FE9"/>
    <w:rsid w:val="0D39221F"/>
    <w:rsid w:val="0D822738"/>
    <w:rsid w:val="0D874C91"/>
    <w:rsid w:val="0E251539"/>
    <w:rsid w:val="0E7B78BC"/>
    <w:rsid w:val="0EF8667C"/>
    <w:rsid w:val="0F4D1EC1"/>
    <w:rsid w:val="0F5C7FD4"/>
    <w:rsid w:val="0F6A739E"/>
    <w:rsid w:val="0F9F3BD7"/>
    <w:rsid w:val="0FFF6D8A"/>
    <w:rsid w:val="10D71254"/>
    <w:rsid w:val="11ED0741"/>
    <w:rsid w:val="12585E42"/>
    <w:rsid w:val="1497412F"/>
    <w:rsid w:val="14E46C49"/>
    <w:rsid w:val="1606281C"/>
    <w:rsid w:val="1606422D"/>
    <w:rsid w:val="164F1224"/>
    <w:rsid w:val="170200B5"/>
    <w:rsid w:val="196907AC"/>
    <w:rsid w:val="19744352"/>
    <w:rsid w:val="199B1FCC"/>
    <w:rsid w:val="1AC35615"/>
    <w:rsid w:val="1AF235BC"/>
    <w:rsid w:val="1B710E23"/>
    <w:rsid w:val="1B9B4301"/>
    <w:rsid w:val="1BDE0C6E"/>
    <w:rsid w:val="1D027491"/>
    <w:rsid w:val="1E0A4CFE"/>
    <w:rsid w:val="1EBA2EF4"/>
    <w:rsid w:val="1F3F5E6A"/>
    <w:rsid w:val="1F9D7F93"/>
    <w:rsid w:val="1FE40979"/>
    <w:rsid w:val="20721E78"/>
    <w:rsid w:val="20B02A1F"/>
    <w:rsid w:val="214775E8"/>
    <w:rsid w:val="215A619D"/>
    <w:rsid w:val="22361E39"/>
    <w:rsid w:val="22645019"/>
    <w:rsid w:val="22CC2BD4"/>
    <w:rsid w:val="22F45642"/>
    <w:rsid w:val="23A7261F"/>
    <w:rsid w:val="23D0245B"/>
    <w:rsid w:val="24360CAA"/>
    <w:rsid w:val="24790BFE"/>
    <w:rsid w:val="24816F73"/>
    <w:rsid w:val="24C11F5B"/>
    <w:rsid w:val="25495220"/>
    <w:rsid w:val="26AD77E2"/>
    <w:rsid w:val="26ED706D"/>
    <w:rsid w:val="26EE7C5C"/>
    <w:rsid w:val="272A30A8"/>
    <w:rsid w:val="274B3CE0"/>
    <w:rsid w:val="275E12DB"/>
    <w:rsid w:val="27615A99"/>
    <w:rsid w:val="277D36C5"/>
    <w:rsid w:val="287871B2"/>
    <w:rsid w:val="28E32528"/>
    <w:rsid w:val="290D2B23"/>
    <w:rsid w:val="29437F4F"/>
    <w:rsid w:val="294A756A"/>
    <w:rsid w:val="29946919"/>
    <w:rsid w:val="29B42735"/>
    <w:rsid w:val="29BD57A5"/>
    <w:rsid w:val="29CD455B"/>
    <w:rsid w:val="2A0E782C"/>
    <w:rsid w:val="2A4E6BE6"/>
    <w:rsid w:val="2B5D59FE"/>
    <w:rsid w:val="2BDC15BB"/>
    <w:rsid w:val="2BE8639A"/>
    <w:rsid w:val="2D4527C6"/>
    <w:rsid w:val="2EA94D33"/>
    <w:rsid w:val="2EB5408F"/>
    <w:rsid w:val="2EB60E92"/>
    <w:rsid w:val="2F573E95"/>
    <w:rsid w:val="2FBD37AE"/>
    <w:rsid w:val="2FC12D46"/>
    <w:rsid w:val="2FFD025D"/>
    <w:rsid w:val="301A663B"/>
    <w:rsid w:val="30BB7EF6"/>
    <w:rsid w:val="30F24C4E"/>
    <w:rsid w:val="314E482F"/>
    <w:rsid w:val="315B5F86"/>
    <w:rsid w:val="31682AFC"/>
    <w:rsid w:val="32997F34"/>
    <w:rsid w:val="344C48FD"/>
    <w:rsid w:val="3510307B"/>
    <w:rsid w:val="35650407"/>
    <w:rsid w:val="35B0360A"/>
    <w:rsid w:val="35BB3C86"/>
    <w:rsid w:val="35D2790E"/>
    <w:rsid w:val="363E0457"/>
    <w:rsid w:val="36570D3D"/>
    <w:rsid w:val="36871FCE"/>
    <w:rsid w:val="36DB124B"/>
    <w:rsid w:val="36EF0528"/>
    <w:rsid w:val="37032F4E"/>
    <w:rsid w:val="376E7D4F"/>
    <w:rsid w:val="37A75B88"/>
    <w:rsid w:val="38C3091E"/>
    <w:rsid w:val="39883FE9"/>
    <w:rsid w:val="3A81143A"/>
    <w:rsid w:val="3AC73EF6"/>
    <w:rsid w:val="3ADB44C6"/>
    <w:rsid w:val="3AFA5496"/>
    <w:rsid w:val="3B247C1B"/>
    <w:rsid w:val="3B2C2D85"/>
    <w:rsid w:val="3BDE06E3"/>
    <w:rsid w:val="3C5B1D35"/>
    <w:rsid w:val="3C8B3CCA"/>
    <w:rsid w:val="3D0C0967"/>
    <w:rsid w:val="3DEE2762"/>
    <w:rsid w:val="3E4B011D"/>
    <w:rsid w:val="3E6C75EB"/>
    <w:rsid w:val="3FC5312E"/>
    <w:rsid w:val="40606AC4"/>
    <w:rsid w:val="40927A26"/>
    <w:rsid w:val="4172362D"/>
    <w:rsid w:val="418F2944"/>
    <w:rsid w:val="425B1F47"/>
    <w:rsid w:val="43051679"/>
    <w:rsid w:val="43B6162D"/>
    <w:rsid w:val="43C274A4"/>
    <w:rsid w:val="4424123C"/>
    <w:rsid w:val="443F2A42"/>
    <w:rsid w:val="448F7480"/>
    <w:rsid w:val="4615571B"/>
    <w:rsid w:val="463605ED"/>
    <w:rsid w:val="46737CA9"/>
    <w:rsid w:val="467F7B4A"/>
    <w:rsid w:val="48341755"/>
    <w:rsid w:val="48494B56"/>
    <w:rsid w:val="48B74ED1"/>
    <w:rsid w:val="490703AF"/>
    <w:rsid w:val="493B16E1"/>
    <w:rsid w:val="4A5A2009"/>
    <w:rsid w:val="4B357CF4"/>
    <w:rsid w:val="4CA624DB"/>
    <w:rsid w:val="4CAE158D"/>
    <w:rsid w:val="4CE92A73"/>
    <w:rsid w:val="4D564FE7"/>
    <w:rsid w:val="4D94754F"/>
    <w:rsid w:val="4E2261B5"/>
    <w:rsid w:val="4E531177"/>
    <w:rsid w:val="4E7959E6"/>
    <w:rsid w:val="4E902FD9"/>
    <w:rsid w:val="4E906A55"/>
    <w:rsid w:val="4EA36C51"/>
    <w:rsid w:val="4ED41F2D"/>
    <w:rsid w:val="4EEB163A"/>
    <w:rsid w:val="510F3E25"/>
    <w:rsid w:val="5162604F"/>
    <w:rsid w:val="51C01D55"/>
    <w:rsid w:val="52592449"/>
    <w:rsid w:val="526D7E6C"/>
    <w:rsid w:val="52C11701"/>
    <w:rsid w:val="53B13E27"/>
    <w:rsid w:val="53BD14E1"/>
    <w:rsid w:val="53F42EC5"/>
    <w:rsid w:val="53F62D78"/>
    <w:rsid w:val="55321751"/>
    <w:rsid w:val="554F642F"/>
    <w:rsid w:val="55B6370E"/>
    <w:rsid w:val="566A6BC7"/>
    <w:rsid w:val="56AA76E3"/>
    <w:rsid w:val="57655ADE"/>
    <w:rsid w:val="578E5FF8"/>
    <w:rsid w:val="58346F28"/>
    <w:rsid w:val="588A4E38"/>
    <w:rsid w:val="58C9604D"/>
    <w:rsid w:val="5ABD5014"/>
    <w:rsid w:val="5AC20054"/>
    <w:rsid w:val="5ADC7AAD"/>
    <w:rsid w:val="5AED79B9"/>
    <w:rsid w:val="5BE904F7"/>
    <w:rsid w:val="5C3F18B5"/>
    <w:rsid w:val="5C6625BC"/>
    <w:rsid w:val="5C6B4A50"/>
    <w:rsid w:val="5CF1710A"/>
    <w:rsid w:val="5D406A5E"/>
    <w:rsid w:val="5D46181B"/>
    <w:rsid w:val="5D5E67E2"/>
    <w:rsid w:val="607C494E"/>
    <w:rsid w:val="60912EFF"/>
    <w:rsid w:val="60C9350C"/>
    <w:rsid w:val="60EB1E19"/>
    <w:rsid w:val="615C0C72"/>
    <w:rsid w:val="618B4B7B"/>
    <w:rsid w:val="61C041BB"/>
    <w:rsid w:val="61F4645C"/>
    <w:rsid w:val="61F74E88"/>
    <w:rsid w:val="62083543"/>
    <w:rsid w:val="622B51E0"/>
    <w:rsid w:val="64AE5E3B"/>
    <w:rsid w:val="65311669"/>
    <w:rsid w:val="656F43BE"/>
    <w:rsid w:val="65E30D95"/>
    <w:rsid w:val="66C11F13"/>
    <w:rsid w:val="673F0A6B"/>
    <w:rsid w:val="67727F9A"/>
    <w:rsid w:val="67732C3D"/>
    <w:rsid w:val="68410F45"/>
    <w:rsid w:val="68710A65"/>
    <w:rsid w:val="68757459"/>
    <w:rsid w:val="68A16865"/>
    <w:rsid w:val="68AC0B0C"/>
    <w:rsid w:val="68B95041"/>
    <w:rsid w:val="693E2807"/>
    <w:rsid w:val="694F16A5"/>
    <w:rsid w:val="69990F25"/>
    <w:rsid w:val="69BA2F2E"/>
    <w:rsid w:val="69E81D1C"/>
    <w:rsid w:val="6A330A31"/>
    <w:rsid w:val="6A956211"/>
    <w:rsid w:val="6ACE65A7"/>
    <w:rsid w:val="6AEC21AC"/>
    <w:rsid w:val="6B44577F"/>
    <w:rsid w:val="6B776939"/>
    <w:rsid w:val="6BC332B0"/>
    <w:rsid w:val="6BF94CA8"/>
    <w:rsid w:val="6C461149"/>
    <w:rsid w:val="6D396CA7"/>
    <w:rsid w:val="6E6A519F"/>
    <w:rsid w:val="6E6F0A3A"/>
    <w:rsid w:val="6E76321C"/>
    <w:rsid w:val="6F6C06D6"/>
    <w:rsid w:val="6F936542"/>
    <w:rsid w:val="70042156"/>
    <w:rsid w:val="70C6565B"/>
    <w:rsid w:val="70EF192D"/>
    <w:rsid w:val="70F80C27"/>
    <w:rsid w:val="72324313"/>
    <w:rsid w:val="72EF6E43"/>
    <w:rsid w:val="72FE3651"/>
    <w:rsid w:val="732A192B"/>
    <w:rsid w:val="74025FBB"/>
    <w:rsid w:val="747549F0"/>
    <w:rsid w:val="75043A9D"/>
    <w:rsid w:val="752F0CD7"/>
    <w:rsid w:val="75616D9B"/>
    <w:rsid w:val="75D22925"/>
    <w:rsid w:val="761B163F"/>
    <w:rsid w:val="768812F3"/>
    <w:rsid w:val="78771484"/>
    <w:rsid w:val="795E5A14"/>
    <w:rsid w:val="7AB94EFD"/>
    <w:rsid w:val="7AF43397"/>
    <w:rsid w:val="7B69188A"/>
    <w:rsid w:val="7BBC096E"/>
    <w:rsid w:val="7C4959C0"/>
    <w:rsid w:val="7C7C43DF"/>
    <w:rsid w:val="7D24336D"/>
    <w:rsid w:val="7D3F7051"/>
    <w:rsid w:val="7D486716"/>
    <w:rsid w:val="7DFA5B65"/>
    <w:rsid w:val="7E0150C3"/>
    <w:rsid w:val="7E833707"/>
    <w:rsid w:val="7E8F4979"/>
    <w:rsid w:val="7EC60C5F"/>
    <w:rsid w:val="7F195871"/>
    <w:rsid w:val="7F3A1EC8"/>
    <w:rsid w:val="7F427144"/>
    <w:rsid w:val="7FFF388A"/>
  </w:rsids>
  <w:docVars>
    <w:docVar w:name="commondata" w:val="eyJoZGlkIjoiNTQ5ZGQ5NGQ0NDQ4ODk3YzY1ZTNmN2MyYzhiZTdiOWE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1" w:unhideWhenUsed="0" w:qFormat="1"/>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qFormat="1"/>
    <w:lsdException w:name="footnote text" w:semiHidden="0" w:uiPriority="0" w:unhideWhenUsed="0" w:qFormat="1"/>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qFormat="1"/>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Heading3"/>
    <w:uiPriority w:val="1"/>
    <w:qFormat/>
    <w:pPr>
      <w:widowControl w:val="0"/>
    </w:pPr>
    <w:rPr>
      <w:rFonts w:ascii="Calibri" w:eastAsia="Calibri" w:hAnsi="Calibri" w:cs="宋体"/>
      <w:sz w:val="22"/>
      <w:szCs w:val="22"/>
      <w:lang w:val="en-US" w:eastAsia="en-US" w:bidi="ar-SA"/>
    </w:rPr>
  </w:style>
  <w:style w:type="paragraph" w:styleId="Heading2">
    <w:name w:val="heading 2"/>
    <w:basedOn w:val="Normal"/>
    <w:next w:val="Normal"/>
    <w:qFormat/>
    <w:pPr>
      <w:keepNext/>
      <w:keepLines/>
      <w:spacing w:before="260" w:after="260" w:line="416" w:lineRule="auto"/>
      <w:outlineLvl w:val="1"/>
    </w:pPr>
    <w:rPr>
      <w:rFonts w:ascii="Cambria" w:eastAsia="宋体" w:hAnsi="Cambria"/>
      <w:b/>
      <w:bCs/>
      <w:sz w:val="32"/>
      <w:szCs w:val="32"/>
    </w:rPr>
  </w:style>
  <w:style w:type="paragraph" w:styleId="Heading3">
    <w:name w:val="heading 3"/>
    <w:basedOn w:val="Normal"/>
    <w:next w:val="Normal"/>
    <w:qFormat/>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qFormat/>
    <w:pPr>
      <w:ind w:firstLine="624"/>
      <w:jc w:val="left"/>
    </w:pPr>
    <w:rPr>
      <w:rFonts w:eastAsia="仿宋_GB2312"/>
    </w:rPr>
  </w:style>
  <w:style w:type="paragraph" w:styleId="CommentText">
    <w:name w:val="annotation text"/>
    <w:basedOn w:val="Normal"/>
    <w:qFormat/>
  </w:style>
  <w:style w:type="paragraph" w:styleId="BodyText">
    <w:name w:val="Body Text"/>
    <w:basedOn w:val="Normal"/>
    <w:next w:val="Title"/>
    <w:uiPriority w:val="1"/>
    <w:qFormat/>
    <w:pPr>
      <w:ind w:left="120"/>
    </w:pPr>
    <w:rPr>
      <w:rFonts w:ascii="华文仿宋" w:eastAsia="华文仿宋" w:hAnsi="华文仿宋"/>
      <w:sz w:val="32"/>
      <w:szCs w:val="32"/>
    </w:rPr>
  </w:style>
  <w:style w:type="paragraph" w:styleId="Title">
    <w:name w:val="Title"/>
    <w:basedOn w:val="Normal"/>
    <w:next w:val="Normal"/>
    <w:qFormat/>
    <w:pPr>
      <w:spacing w:before="240" w:after="60"/>
      <w:jc w:val="center"/>
      <w:outlineLvl w:val="0"/>
    </w:pPr>
    <w:rPr>
      <w:rFonts w:ascii="等线 Light" w:hAnsi="等线 Light" w:cs="Times New Roman"/>
      <w:b/>
      <w:bCs/>
      <w:sz w:val="32"/>
      <w:szCs w:val="32"/>
    </w:rPr>
  </w:style>
  <w:style w:type="paragraph" w:styleId="PlainText">
    <w:name w:val="Plain Text"/>
    <w:basedOn w:val="Normal"/>
    <w:qFormat/>
    <w:rPr>
      <w:rFonts w:ascii="宋体" w:hAnsi="Courier New"/>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FootnoteText">
    <w:name w:val="footnote text"/>
    <w:basedOn w:val="Normal"/>
    <w:qFormat/>
    <w:pPr>
      <w:snapToGrid w:val="0"/>
      <w:jc w:val="left"/>
    </w:pPr>
    <w:rPr>
      <w:sz w:val="18"/>
    </w:rPr>
  </w:style>
  <w:style w:type="paragraph" w:styleId="TOC2">
    <w:name w:val="toc 2"/>
    <w:basedOn w:val="Normal"/>
    <w:next w:val="Normal"/>
    <w:uiPriority w:val="1"/>
    <w:qFormat/>
    <w:pPr>
      <w:spacing w:before="43"/>
      <w:ind w:left="1100" w:hanging="420"/>
    </w:pPr>
    <w:rPr>
      <w:sz w:val="21"/>
      <w:szCs w:val="21"/>
    </w:rPr>
  </w:style>
  <w:style w:type="paragraph" w:styleId="NormalWeb">
    <w:name w:val="Normal (Web)"/>
    <w:basedOn w:val="Normal"/>
    <w:qFormat/>
    <w:pPr>
      <w:spacing w:before="100" w:beforeAutospacing="1" w:after="100" w:afterAutospacing="1"/>
      <w:ind w:left="0" w:right="0"/>
      <w:jc w:val="left"/>
    </w:pPr>
    <w:rPr>
      <w:kern w:val="0"/>
      <w:sz w:val="24"/>
      <w:lang w:val="en-US" w:eastAsia="zh-CN" w:bidi="ar"/>
    </w:rPr>
  </w:style>
  <w:style w:type="character" w:styleId="Strong">
    <w:name w:val="Strong"/>
    <w:basedOn w:val="DefaultParagraphFont"/>
    <w:qFormat/>
    <w:rPr>
      <w:b/>
    </w:rPr>
  </w:style>
  <w:style w:type="character" w:styleId="FootnoteReference">
    <w:name w:val="footnote reference"/>
    <w:basedOn w:val="DefaultParagraphFont"/>
    <w:qFormat/>
    <w:rPr>
      <w:vertAlign w:val="superscript"/>
    </w:rPr>
  </w:style>
  <w:style w:type="table" w:customStyle="1" w:styleId="TableNormal0">
    <w:name w:val="Table Normal_0"/>
    <w:uiPriority w:val="2"/>
    <w:qFormat/>
    <w:tblPr>
      <w:tblCellMar>
        <w:top w:w="0" w:type="dxa"/>
        <w:left w:w="0" w:type="dxa"/>
        <w:bottom w:w="0" w:type="dxa"/>
        <w:right w:w="0" w:type="dxa"/>
      </w:tblCellMar>
    </w:tblPr>
  </w:style>
  <w:style w:type="paragraph" w:customStyle="1" w:styleId="ListParagraph8a44d64e-8b02-4b8e-a874-20f85d9fef02">
    <w:name w:val="List Paragraph_8a44d64e-8b02-4b8e-a874-20f85d9fef02"/>
    <w:basedOn w:val="Normal"/>
    <w:uiPriority w:val="1"/>
    <w:qFormat/>
  </w:style>
  <w:style w:type="paragraph" w:customStyle="1" w:styleId="TableParagraph">
    <w:name w:val="Table Paragraph"/>
    <w:basedOn w:val="Normal"/>
    <w:uiPriority w:val="1"/>
    <w:qFormat/>
  </w:style>
  <w:style w:type="paragraph" w:customStyle="1" w:styleId="16">
    <w:name w:val="样式16"/>
    <w:basedOn w:val="1"/>
    <w:qFormat/>
    <w:rPr>
      <w:color w:val="000000"/>
    </w:rPr>
  </w:style>
  <w:style w:type="paragraph" w:customStyle="1" w:styleId="1">
    <w:name w:val="正文1"/>
    <w:qFormat/>
    <w:pPr>
      <w:ind w:firstLine="640"/>
    </w:pPr>
    <w:rPr>
      <w:rFonts w:ascii="仿宋_GB2312" w:eastAsia="仿宋_GB2312" w:hAnsi="Calibri" w:cs="宋体"/>
      <w:sz w:val="32"/>
      <w:szCs w:val="32"/>
      <w:lang w:val="en-US" w:eastAsia="zh-CN" w:bidi="ar-SA"/>
    </w:rPr>
  </w:style>
  <w:style w:type="paragraph" w:customStyle="1" w:styleId="WPSOffice1">
    <w:name w:val="WPSOffice手动目录 1"/>
    <w:qFormat/>
    <w:rPr>
      <w:rFonts w:ascii="Calibri" w:eastAsia="宋体" w:hAnsi="Calibri" w:cs="Times New Roman"/>
      <w:lang w:val="en-US" w:eastAsia="zh-CN" w:bidi="ar-SA"/>
    </w:rPr>
  </w:style>
  <w:style w:type="paragraph" w:customStyle="1" w:styleId="Revision">
    <w:name w:val="Revision"/>
    <w:hidden/>
    <w:uiPriority w:val="99"/>
    <w:unhideWhenUsed/>
    <w:qFormat/>
    <w:rPr>
      <w:rFonts w:ascii="Calibri" w:eastAsia="Calibri" w:hAnsi="Calibri" w:cs="宋体"/>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 Id="rId6" Type="http://schemas.openxmlformats.org/officeDocument/2006/relationships/font" Target="fonts/font6.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2777</Words>
  <Characters>2926</Characters>
  <Application>Microsoft Office Word</Application>
  <DocSecurity>0</DocSecurity>
  <Lines>113</Lines>
  <Paragraphs>32</Paragraphs>
  <ScaleCrop>false</ScaleCrop>
  <Company/>
  <LinksUpToDate>false</LinksUpToDate>
  <CharactersWithSpaces>2926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陈文超</dc:creator>
  <cp:lastModifiedBy>交易中心文书</cp:lastModifiedBy>
  <cp:revision>5</cp:revision>
  <cp:lastPrinted>2023-12-21T11:45:00Z</cp:lastPrinted>
  <dcterms:created xsi:type="dcterms:W3CDTF">2022-03-21T12:17:00Z</dcterms:created>
  <dcterms:modified xsi:type="dcterms:W3CDTF">2026-02-09T01:57:02Z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2022-01-05T00:00:00Z</vt:filetime>
  </property>
  <property fmtid="{D5CDD505-2E9C-101B-9397-08002B2CF9AE}" pid="3" name="ICV">
    <vt:lpwstr>BE443787164745DF90D171937EADD4CB</vt:lpwstr>
  </property>
  <property fmtid="{D5CDD505-2E9C-101B-9397-08002B2CF9AE}" pid="4" name="KSOProductBuildVer">
    <vt:lpwstr>2052-11.8.2.12085</vt:lpwstr>
  </property>
  <property fmtid="{D5CDD505-2E9C-101B-9397-08002B2CF9AE}" pid="5" name="KSOTemplateDocerSaveRecord">
    <vt:lpwstr>eyJoZGlkIjoiNTlkNWQ2MzEyYWExMmQyZmI1Njc0MjY0OGU2Y2Q2ZWUiLCJ1c2VySWQiOiI3OTc3NDMyMTIifQ==</vt:lpwstr>
  </property>
  <property fmtid="{D5CDD505-2E9C-101B-9397-08002B2CF9AE}" pid="6" name="LastSaved">
    <vt:filetime>2022-03-21T00:00:00Z</vt:filetime>
  </property>
</Properties>
</file>