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×××工程项目优选申报书（大纲）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黑体" w:cs="黑体"/>
          <w:sz w:val="32"/>
          <w:szCs w:val="32"/>
          <w:lang w:val="en-US" w:eastAsia="zh-CN"/>
        </w:rPr>
        <w:t>×××公司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方正小标宋简体" w:hAnsi="方正小标宋简体" w:eastAsia="黑体" w:cs="黑体"/>
          <w:sz w:val="32"/>
          <w:szCs w:val="32"/>
          <w:lang w:val="en-US" w:eastAsia="zh-CN"/>
        </w:rPr>
        <w:t>二〇二六年×月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1.概 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1.1项目背景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1.2项目概况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1.2.1项目名称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1.2.2建设性质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1.2.3建设规模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1.2.4机组选型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1.2.5计划开工时间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1.2.6计划投产时间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1.2.7规划情况和地位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1.2.8项目法人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2.电厂规划布局</w:t>
      </w:r>
    </w:p>
    <w:p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2.1规划布局和一次能源流向合理性</w:t>
      </w:r>
    </w:p>
    <w:p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2.2接入电力系统和对电网运行影响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评价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outlineLvl w:val="9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2.3燃料种类和来源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2.4燃料运输对交通的依赖程度和条件对其他种类电源项目规划的影响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2.5响应政策要求淘汰落后产能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与其他主要申报项目之间的比较与评价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3.电厂经济性初步评价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3.1利用小时合理性评价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3.2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项目经济性评价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4.环境保护评价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4.1 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大气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污染物的排放指标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废水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及噪音的治理措施和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排放指标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灰、渣、脱硫石膏综合利用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5.资源有效利用评价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5.1 机组主要性能指标的先进性评价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5.2节约用地评价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5.3节约用水评价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6.国</w:t>
      </w:r>
      <w:r>
        <w:rPr>
          <w:rFonts w:hint="eastAsia" w:ascii="Times New Roman" w:hAnsi="Times New Roman" w:eastAsia="黑体" w:cs="黑体"/>
          <w:snapToGrid/>
          <w:sz w:val="32"/>
          <w:szCs w:val="32"/>
          <w:lang w:val="en-US" w:eastAsia="zh-CN"/>
        </w:rPr>
        <w:t>内首台（套）或国内先进技术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7.投资方资信、业绩等综合因素评价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7.1 公司整体经营状况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7.2 已有项目建设、运营、管理状况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7.3 拟组建项目公司的股权结构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7.4 项目建设的资金筹措方案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baseline"/>
        <w:outlineLvl w:val="9"/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7.5 项支持程度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napToGrid/>
          <w:sz w:val="32"/>
          <w:szCs w:val="32"/>
          <w:lang w:val="en-US" w:eastAsia="zh-CN"/>
        </w:rPr>
        <w:t>8.附件及其他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2648"/>
    <w:rsid w:val="6276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2026-02-25T06:38:00Z</dcterms:created>
  <dc:creator>Autistic  </dc:creator>
  <cp:lastModifiedBy>Autistic  </cp:lastModifiedBy>
  <dcterms:modified xsi:type="dcterms:W3CDTF">2026-02-25T06:38:57Z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