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Times New Roman" w:hAnsi="Times New Roman" w:eastAsia="方正仿宋_GBK" w:cs="Times New Roman"/>
          <w:sz w:val="32"/>
          <w:szCs w:val="2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Times New Roman" w:hAnsi="Times New Roman" w:eastAsia="方正仿宋_GBK" w:cs="Times New Roman"/>
          <w:sz w:val="32"/>
          <w:szCs w:val="2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Times New Roman" w:hAnsi="Times New Roman" w:eastAsia="方正仿宋_GBK" w:cs="Times New Roman"/>
          <w:sz w:val="32"/>
          <w:szCs w:val="2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0" w:firstLine="0" w:firstLineChars="0"/>
        <w:jc w:val="center"/>
        <w:textAlignment w:val="auto"/>
        <w:rPr>
          <w:rFonts w:hint="eastAsia" w:ascii="方正小标宋_GBK" w:hAnsi="方正小标宋_GBK" w:eastAsia="方正小标宋_GBK" w:cs="方正小标宋_GBK"/>
          <w:b/>
          <w:bCs w:val="0"/>
          <w:spacing w:val="0"/>
          <w:sz w:val="48"/>
          <w:szCs w:val="48"/>
          <w:lang w:val="en-US" w:eastAsia="zh-CN"/>
        </w:rPr>
      </w:pPr>
      <w:r>
        <w:rPr>
          <w:rFonts w:hint="eastAsia" w:ascii="方正小标宋_GBK" w:hAnsi="方正小标宋_GBK" w:eastAsia="方正小标宋_GBK" w:cs="方正小标宋_GBK"/>
          <w:b/>
          <w:bCs w:val="0"/>
          <w:spacing w:val="0"/>
          <w:sz w:val="48"/>
          <w:szCs w:val="48"/>
          <w:lang w:val="en-US" w:eastAsia="zh-CN"/>
        </w:rPr>
        <w:t>吴忠市利通区新能源项目用地租赁费标准制定成果报告（送审稿）</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方正仿宋_GBK" w:cs="方正仿宋_GBK"/>
          <w:sz w:val="32"/>
          <w:szCs w:val="2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方正仿宋_GBK" w:cs="方正仿宋_GBK"/>
          <w:sz w:val="32"/>
          <w:szCs w:val="2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方正仿宋_GBK" w:cs="方正仿宋_GBK"/>
          <w:sz w:val="32"/>
          <w:szCs w:val="2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方正仿宋_GBK" w:cs="方正仿宋_GBK"/>
          <w:sz w:val="32"/>
          <w:szCs w:val="2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方正仿宋_GBK" w:cs="方正仿宋_GBK"/>
          <w:sz w:val="32"/>
          <w:szCs w:val="2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方正仿宋_GBK" w:cs="方正仿宋_GBK"/>
          <w:sz w:val="32"/>
          <w:szCs w:val="2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方正仿宋_GBK" w:cs="方正仿宋_GBK"/>
          <w:sz w:val="32"/>
          <w:szCs w:val="2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方正仿宋_GBK" w:cs="方正仿宋_GBK"/>
          <w:sz w:val="32"/>
          <w:szCs w:val="2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方正仿宋_GBK" w:cs="方正仿宋_GBK"/>
          <w:sz w:val="32"/>
          <w:szCs w:val="2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方正仿宋_GBK" w:cs="方正仿宋_GBK"/>
          <w:sz w:val="32"/>
          <w:szCs w:val="2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方正仿宋_GBK" w:cs="方正仿宋_GBK"/>
          <w:sz w:val="32"/>
          <w:szCs w:val="2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方正仿宋_GBK" w:cs="方正仿宋_GBK"/>
          <w:sz w:val="32"/>
          <w:szCs w:val="2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方正仿宋_GBK" w:cs="方正仿宋_GBK"/>
          <w:sz w:val="32"/>
          <w:szCs w:val="22"/>
        </w:rPr>
      </w:pPr>
    </w:p>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项目承担单位：吴忠市利通区自然资源局</w:t>
      </w:r>
    </w:p>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技术编制单位：宁夏恒正不动产评估咨询有限公司</w:t>
      </w:r>
    </w:p>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eastAsia" w:ascii="黑体" w:hAnsi="黑体" w:eastAsia="黑体" w:cs="黑体"/>
          <w:bCs/>
          <w:sz w:val="32"/>
          <w:szCs w:val="32"/>
        </w:rPr>
      </w:pPr>
      <w:r>
        <w:rPr>
          <w:rFonts w:hint="eastAsia" w:ascii="黑体" w:hAnsi="黑体" w:eastAsia="黑体" w:cs="黑体"/>
          <w:bCs/>
          <w:sz w:val="32"/>
          <w:szCs w:val="32"/>
        </w:rPr>
        <w:t>二〇二</w:t>
      </w:r>
      <w:r>
        <w:rPr>
          <w:rFonts w:hint="eastAsia" w:ascii="黑体" w:hAnsi="黑体" w:eastAsia="黑体" w:cs="黑体"/>
          <w:bCs/>
          <w:sz w:val="32"/>
          <w:szCs w:val="32"/>
          <w:lang w:val="en-US" w:eastAsia="zh-CN"/>
        </w:rPr>
        <w:t>六</w:t>
      </w:r>
      <w:r>
        <w:rPr>
          <w:rFonts w:hint="eastAsia" w:ascii="黑体" w:hAnsi="黑体" w:eastAsia="黑体" w:cs="黑体"/>
          <w:bCs/>
          <w:sz w:val="32"/>
          <w:szCs w:val="32"/>
        </w:rPr>
        <w:t>年</w:t>
      </w:r>
      <w:r>
        <w:rPr>
          <w:rFonts w:hint="eastAsia" w:ascii="黑体" w:hAnsi="黑体" w:eastAsia="黑体" w:cs="黑体"/>
          <w:bCs/>
          <w:sz w:val="32"/>
          <w:szCs w:val="32"/>
          <w:lang w:val="en-US" w:eastAsia="zh-CN"/>
        </w:rPr>
        <w:t>一</w:t>
      </w:r>
      <w:r>
        <w:rPr>
          <w:rFonts w:hint="eastAsia" w:ascii="黑体" w:hAnsi="黑体" w:eastAsia="黑体" w:cs="黑体"/>
          <w:bCs/>
          <w:sz w:val="32"/>
          <w:szCs w:val="32"/>
        </w:rPr>
        <w:t>月</w:t>
      </w:r>
    </w:p>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eastAsia" w:ascii="黑体" w:hAnsi="黑体" w:eastAsia="黑体" w:cs="黑体"/>
          <w:bCs/>
          <w:sz w:val="32"/>
          <w:szCs w:val="32"/>
          <w:lang w:val="en-US" w:eastAsia="zh-CN"/>
        </w:rPr>
      </w:pPr>
    </w:p>
    <w:p>
      <w:pPr>
        <w:pStyle w:val="13"/>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rPr>
          <w:rFonts w:hint="eastAsia"/>
          <w:lang w:val="en-US" w:eastAsia="zh-CN"/>
        </w:rPr>
      </w:pPr>
    </w:p>
    <w:sdt>
      <w:sdtPr>
        <w:rPr>
          <w:rFonts w:hint="eastAsia" w:ascii="方正小标宋_GBK" w:hAnsi="方正小标宋_GBK" w:eastAsia="方正小标宋_GBK" w:cs="方正小标宋_GBK"/>
          <w:b/>
          <w:sz w:val="36"/>
          <w:szCs w:val="36"/>
          <w:highlight w:val="none"/>
          <w:lang w:val="en-US" w:eastAsia="zh-CN"/>
        </w:rPr>
        <w:id w:val="147453556"/>
        <w15:color w:val="DBDBDB"/>
        <w:docPartObj>
          <w:docPartGallery w:val="Table of Contents"/>
          <w:docPartUnique/>
        </w:docPartObj>
      </w:sdtPr>
      <w:sdtEndPr>
        <w:rPr>
          <w:rFonts w:hint="default" w:asciiTheme="minorHAnsi" w:hAnsiTheme="minorHAnsi" w:eastAsiaTheme="minorEastAsia" w:cstheme="minorBidi"/>
          <w:b/>
          <w:bCs/>
          <w:kern w:val="2"/>
          <w:sz w:val="21"/>
          <w:szCs w:val="32"/>
          <w:highlight w:val="none"/>
          <w:lang w:val="en-US" w:eastAsia="zh-CN" w:bidi="ar-SA"/>
        </w:rPr>
      </w:sdtEndPr>
      <w:sdtContent>
        <w:p>
          <w:pPr>
            <w:spacing w:line="700" w:lineRule="exact"/>
            <w:jc w:val="center"/>
            <w:rPr>
              <w:rFonts w:hint="eastAsia" w:ascii="方正小标宋_GBK" w:hAnsi="方正小标宋_GBK" w:eastAsia="方正小标宋_GBK" w:cs="方正小标宋_GBK"/>
              <w:b/>
              <w:sz w:val="36"/>
              <w:szCs w:val="36"/>
              <w:highlight w:val="none"/>
              <w:lang w:val="en-US" w:eastAsia="zh-CN"/>
            </w:rPr>
          </w:pPr>
          <w:r>
            <w:rPr>
              <w:rFonts w:hint="eastAsia" w:ascii="方正小标宋_GBK" w:hAnsi="方正小标宋_GBK" w:eastAsia="方正小标宋_GBK" w:cs="方正小标宋_GBK"/>
              <w:b/>
              <w:sz w:val="36"/>
              <w:szCs w:val="36"/>
              <w:highlight w:val="none"/>
              <w:lang w:val="en-US" w:eastAsia="zh-CN"/>
            </w:rPr>
            <w:t>目 录</w:t>
          </w:r>
        </w:p>
        <w:p>
          <w:pPr>
            <w:pStyle w:val="11"/>
            <w:tabs>
              <w:tab w:val="right" w:leader="dot" w:pos="8306"/>
            </w:tabs>
          </w:pPr>
          <w:r>
            <w:rPr>
              <w:rFonts w:hint="default"/>
              <w:b/>
              <w:bCs/>
              <w:sz w:val="32"/>
              <w:szCs w:val="32"/>
              <w:lang w:val="en-US" w:eastAsia="zh-CN"/>
            </w:rPr>
            <w:fldChar w:fldCharType="begin"/>
          </w:r>
          <w:r>
            <w:rPr>
              <w:rFonts w:hint="default"/>
              <w:b/>
              <w:bCs/>
              <w:sz w:val="32"/>
              <w:szCs w:val="32"/>
              <w:lang w:val="en-US" w:eastAsia="zh-CN"/>
            </w:rPr>
            <w:instrText xml:space="preserve">TOC \o "1-2" \h \u </w:instrText>
          </w:r>
          <w:r>
            <w:rPr>
              <w:rFonts w:hint="default"/>
              <w:b/>
              <w:bCs/>
              <w:sz w:val="32"/>
              <w:szCs w:val="32"/>
              <w:lang w:val="en-US" w:eastAsia="zh-CN"/>
            </w:rPr>
            <w:fldChar w:fldCharType="separate"/>
          </w:r>
          <w:r>
            <w:rPr>
              <w:rFonts w:hint="default"/>
              <w:bCs/>
              <w:szCs w:val="32"/>
              <w:lang w:val="en-US" w:eastAsia="zh-CN"/>
            </w:rPr>
            <w:fldChar w:fldCharType="begin"/>
          </w:r>
          <w:r>
            <w:rPr>
              <w:rFonts w:hint="default"/>
              <w:bCs/>
              <w:szCs w:val="32"/>
              <w:lang w:val="en-US" w:eastAsia="zh-CN"/>
            </w:rPr>
            <w:instrText xml:space="preserve"> HYPERLINK \l _Toc31897 </w:instrText>
          </w:r>
          <w:r>
            <w:rPr>
              <w:rFonts w:hint="default"/>
              <w:bCs/>
              <w:szCs w:val="32"/>
              <w:lang w:val="en-US" w:eastAsia="zh-CN"/>
            </w:rPr>
            <w:fldChar w:fldCharType="separate"/>
          </w:r>
          <w:r>
            <w:rPr>
              <w:rFonts w:hint="eastAsia"/>
              <w:lang w:val="en-US" w:eastAsia="zh-CN"/>
            </w:rPr>
            <w:t>一、工作概况</w:t>
          </w:r>
          <w:r>
            <w:tab/>
          </w:r>
          <w:r>
            <w:fldChar w:fldCharType="begin"/>
          </w:r>
          <w:r>
            <w:instrText xml:space="preserve"> PAGEREF _Toc31897 \h </w:instrText>
          </w:r>
          <w:r>
            <w:fldChar w:fldCharType="separate"/>
          </w:r>
          <w:r>
            <w:t>1</w:t>
          </w:r>
          <w:r>
            <w:fldChar w:fldCharType="end"/>
          </w:r>
          <w:r>
            <w:rPr>
              <w:rFonts w:hint="default"/>
              <w:bCs/>
              <w:szCs w:val="32"/>
              <w:lang w:val="en-US" w:eastAsia="zh-CN"/>
            </w:rPr>
            <w:fldChar w:fldCharType="end"/>
          </w:r>
        </w:p>
        <w:p>
          <w:pPr>
            <w:pStyle w:val="13"/>
            <w:tabs>
              <w:tab w:val="right" w:leader="dot" w:pos="8306"/>
            </w:tabs>
          </w:pPr>
          <w:r>
            <w:rPr>
              <w:rFonts w:hint="default"/>
              <w:bCs/>
              <w:szCs w:val="32"/>
              <w:lang w:val="en-US" w:eastAsia="zh-CN"/>
            </w:rPr>
            <w:fldChar w:fldCharType="begin"/>
          </w:r>
          <w:r>
            <w:rPr>
              <w:rFonts w:hint="default"/>
              <w:bCs/>
              <w:szCs w:val="32"/>
              <w:lang w:val="en-US" w:eastAsia="zh-CN"/>
            </w:rPr>
            <w:instrText xml:space="preserve"> HYPERLINK \l _Toc25586 </w:instrText>
          </w:r>
          <w:r>
            <w:rPr>
              <w:rFonts w:hint="default"/>
              <w:bCs/>
              <w:szCs w:val="32"/>
              <w:lang w:val="en-US" w:eastAsia="zh-CN"/>
            </w:rPr>
            <w:fldChar w:fldCharType="separate"/>
          </w:r>
          <w:r>
            <w:rPr>
              <w:rFonts w:hint="eastAsia"/>
              <w:lang w:val="en-US" w:eastAsia="zh-CN"/>
            </w:rPr>
            <w:t>（一）工作背景</w:t>
          </w:r>
          <w:r>
            <w:tab/>
          </w:r>
          <w:r>
            <w:fldChar w:fldCharType="begin"/>
          </w:r>
          <w:r>
            <w:instrText xml:space="preserve"> PAGEREF _Toc25586 \h </w:instrText>
          </w:r>
          <w:r>
            <w:fldChar w:fldCharType="separate"/>
          </w:r>
          <w:r>
            <w:t>1</w:t>
          </w:r>
          <w:r>
            <w:fldChar w:fldCharType="end"/>
          </w:r>
          <w:r>
            <w:rPr>
              <w:rFonts w:hint="default"/>
              <w:bCs/>
              <w:szCs w:val="32"/>
              <w:lang w:val="en-US" w:eastAsia="zh-CN"/>
            </w:rPr>
            <w:fldChar w:fldCharType="end"/>
          </w:r>
        </w:p>
        <w:p>
          <w:pPr>
            <w:pStyle w:val="13"/>
            <w:tabs>
              <w:tab w:val="right" w:leader="dot" w:pos="8306"/>
            </w:tabs>
          </w:pPr>
          <w:r>
            <w:rPr>
              <w:rFonts w:hint="default"/>
              <w:bCs/>
              <w:szCs w:val="32"/>
              <w:lang w:val="en-US" w:eastAsia="zh-CN"/>
            </w:rPr>
            <w:fldChar w:fldCharType="begin"/>
          </w:r>
          <w:r>
            <w:rPr>
              <w:rFonts w:hint="default"/>
              <w:bCs/>
              <w:szCs w:val="32"/>
              <w:lang w:val="en-US" w:eastAsia="zh-CN"/>
            </w:rPr>
            <w:instrText xml:space="preserve"> HYPERLINK \l _Toc17917 </w:instrText>
          </w:r>
          <w:r>
            <w:rPr>
              <w:rFonts w:hint="default"/>
              <w:bCs/>
              <w:szCs w:val="32"/>
              <w:lang w:val="en-US" w:eastAsia="zh-CN"/>
            </w:rPr>
            <w:fldChar w:fldCharType="separate"/>
          </w:r>
          <w:r>
            <w:rPr>
              <w:rFonts w:hint="eastAsia"/>
              <w:lang w:val="en-US" w:eastAsia="zh-CN"/>
            </w:rPr>
            <w:t>（二）工作必要性</w:t>
          </w:r>
          <w:r>
            <w:tab/>
          </w:r>
          <w:r>
            <w:fldChar w:fldCharType="begin"/>
          </w:r>
          <w:r>
            <w:instrText xml:space="preserve"> PAGEREF _Toc17917 \h </w:instrText>
          </w:r>
          <w:r>
            <w:fldChar w:fldCharType="separate"/>
          </w:r>
          <w:r>
            <w:t>1</w:t>
          </w:r>
          <w:r>
            <w:fldChar w:fldCharType="end"/>
          </w:r>
          <w:r>
            <w:rPr>
              <w:rFonts w:hint="default"/>
              <w:bCs/>
              <w:szCs w:val="32"/>
              <w:lang w:val="en-US" w:eastAsia="zh-CN"/>
            </w:rPr>
            <w:fldChar w:fldCharType="end"/>
          </w:r>
        </w:p>
        <w:p>
          <w:pPr>
            <w:pStyle w:val="13"/>
            <w:tabs>
              <w:tab w:val="right" w:leader="dot" w:pos="8306"/>
            </w:tabs>
          </w:pPr>
          <w:r>
            <w:rPr>
              <w:rFonts w:hint="default"/>
              <w:bCs/>
              <w:szCs w:val="32"/>
              <w:lang w:val="en-US" w:eastAsia="zh-CN"/>
            </w:rPr>
            <w:fldChar w:fldCharType="begin"/>
          </w:r>
          <w:r>
            <w:rPr>
              <w:rFonts w:hint="default"/>
              <w:bCs/>
              <w:szCs w:val="32"/>
              <w:lang w:val="en-US" w:eastAsia="zh-CN"/>
            </w:rPr>
            <w:instrText xml:space="preserve"> HYPERLINK \l _Toc16845 </w:instrText>
          </w:r>
          <w:r>
            <w:rPr>
              <w:rFonts w:hint="default"/>
              <w:bCs/>
              <w:szCs w:val="32"/>
              <w:lang w:val="en-US" w:eastAsia="zh-CN"/>
            </w:rPr>
            <w:fldChar w:fldCharType="separate"/>
          </w:r>
          <w:r>
            <w:rPr>
              <w:rFonts w:hint="eastAsia"/>
              <w:lang w:val="en-US" w:eastAsia="zh-CN"/>
            </w:rPr>
            <w:t>（三）基本原则</w:t>
          </w:r>
          <w:r>
            <w:tab/>
          </w:r>
          <w:r>
            <w:fldChar w:fldCharType="begin"/>
          </w:r>
          <w:r>
            <w:instrText xml:space="preserve"> PAGEREF _Toc16845 \h </w:instrText>
          </w:r>
          <w:r>
            <w:fldChar w:fldCharType="separate"/>
          </w:r>
          <w:r>
            <w:t>2</w:t>
          </w:r>
          <w:r>
            <w:fldChar w:fldCharType="end"/>
          </w:r>
          <w:r>
            <w:rPr>
              <w:rFonts w:hint="default"/>
              <w:bCs/>
              <w:szCs w:val="32"/>
              <w:lang w:val="en-US" w:eastAsia="zh-CN"/>
            </w:rPr>
            <w:fldChar w:fldCharType="end"/>
          </w:r>
        </w:p>
        <w:p>
          <w:pPr>
            <w:pStyle w:val="13"/>
            <w:tabs>
              <w:tab w:val="right" w:leader="dot" w:pos="8306"/>
            </w:tabs>
          </w:pPr>
          <w:r>
            <w:rPr>
              <w:rFonts w:hint="default"/>
              <w:bCs/>
              <w:szCs w:val="32"/>
              <w:lang w:val="en-US" w:eastAsia="zh-CN"/>
            </w:rPr>
            <w:fldChar w:fldCharType="begin"/>
          </w:r>
          <w:r>
            <w:rPr>
              <w:rFonts w:hint="default"/>
              <w:bCs/>
              <w:szCs w:val="32"/>
              <w:lang w:val="en-US" w:eastAsia="zh-CN"/>
            </w:rPr>
            <w:instrText xml:space="preserve"> HYPERLINK \l _Toc27128 </w:instrText>
          </w:r>
          <w:r>
            <w:rPr>
              <w:rFonts w:hint="default"/>
              <w:bCs/>
              <w:szCs w:val="32"/>
              <w:lang w:val="en-US" w:eastAsia="zh-CN"/>
            </w:rPr>
            <w:fldChar w:fldCharType="separate"/>
          </w:r>
          <w:r>
            <w:rPr>
              <w:rFonts w:hint="eastAsia"/>
              <w:lang w:val="en-US" w:eastAsia="zh-CN"/>
            </w:rPr>
            <w:t>（四）工作依据</w:t>
          </w:r>
          <w:r>
            <w:tab/>
          </w:r>
          <w:r>
            <w:fldChar w:fldCharType="begin"/>
          </w:r>
          <w:r>
            <w:instrText xml:space="preserve"> PAGEREF _Toc27128 \h </w:instrText>
          </w:r>
          <w:r>
            <w:fldChar w:fldCharType="separate"/>
          </w:r>
          <w:r>
            <w:t>3</w:t>
          </w:r>
          <w:r>
            <w:fldChar w:fldCharType="end"/>
          </w:r>
          <w:r>
            <w:rPr>
              <w:rFonts w:hint="default"/>
              <w:bCs/>
              <w:szCs w:val="32"/>
              <w:lang w:val="en-US" w:eastAsia="zh-CN"/>
            </w:rPr>
            <w:fldChar w:fldCharType="end"/>
          </w:r>
        </w:p>
        <w:p>
          <w:pPr>
            <w:pStyle w:val="11"/>
            <w:tabs>
              <w:tab w:val="right" w:leader="dot" w:pos="8306"/>
            </w:tabs>
          </w:pPr>
          <w:r>
            <w:rPr>
              <w:rFonts w:hint="default"/>
              <w:bCs/>
              <w:szCs w:val="32"/>
              <w:lang w:val="en-US" w:eastAsia="zh-CN"/>
            </w:rPr>
            <w:fldChar w:fldCharType="begin"/>
          </w:r>
          <w:r>
            <w:rPr>
              <w:rFonts w:hint="default"/>
              <w:bCs/>
              <w:szCs w:val="32"/>
              <w:lang w:val="en-US" w:eastAsia="zh-CN"/>
            </w:rPr>
            <w:instrText xml:space="preserve"> HYPERLINK \l _Toc23125 </w:instrText>
          </w:r>
          <w:r>
            <w:rPr>
              <w:rFonts w:hint="default"/>
              <w:bCs/>
              <w:szCs w:val="32"/>
              <w:lang w:val="en-US" w:eastAsia="zh-CN"/>
            </w:rPr>
            <w:fldChar w:fldCharType="separate"/>
          </w:r>
          <w:r>
            <w:rPr>
              <w:rFonts w:hint="eastAsia"/>
              <w:lang w:val="en-US" w:eastAsia="zh-CN"/>
            </w:rPr>
            <w:t>二、技术路线与方法</w:t>
          </w:r>
          <w:r>
            <w:tab/>
          </w:r>
          <w:r>
            <w:fldChar w:fldCharType="begin"/>
          </w:r>
          <w:r>
            <w:instrText xml:space="preserve"> PAGEREF _Toc23125 \h </w:instrText>
          </w:r>
          <w:r>
            <w:fldChar w:fldCharType="separate"/>
          </w:r>
          <w:r>
            <w:t>4</w:t>
          </w:r>
          <w:r>
            <w:fldChar w:fldCharType="end"/>
          </w:r>
          <w:r>
            <w:rPr>
              <w:rFonts w:hint="default"/>
              <w:bCs/>
              <w:szCs w:val="32"/>
              <w:lang w:val="en-US" w:eastAsia="zh-CN"/>
            </w:rPr>
            <w:fldChar w:fldCharType="end"/>
          </w:r>
        </w:p>
        <w:p>
          <w:pPr>
            <w:pStyle w:val="13"/>
            <w:tabs>
              <w:tab w:val="right" w:leader="dot" w:pos="8306"/>
            </w:tabs>
          </w:pPr>
          <w:r>
            <w:rPr>
              <w:rFonts w:hint="default"/>
              <w:bCs/>
              <w:szCs w:val="32"/>
              <w:lang w:val="en-US" w:eastAsia="zh-CN"/>
            </w:rPr>
            <w:fldChar w:fldCharType="begin"/>
          </w:r>
          <w:r>
            <w:rPr>
              <w:rFonts w:hint="default"/>
              <w:bCs/>
              <w:szCs w:val="32"/>
              <w:lang w:val="en-US" w:eastAsia="zh-CN"/>
            </w:rPr>
            <w:instrText xml:space="preserve"> HYPERLINK \l _Toc23443 </w:instrText>
          </w:r>
          <w:r>
            <w:rPr>
              <w:rFonts w:hint="default"/>
              <w:bCs/>
              <w:szCs w:val="32"/>
              <w:lang w:val="en-US" w:eastAsia="zh-CN"/>
            </w:rPr>
            <w:fldChar w:fldCharType="separate"/>
          </w:r>
          <w:r>
            <w:rPr>
              <w:rFonts w:hint="eastAsia"/>
              <w:lang w:val="en-US" w:eastAsia="zh-CN"/>
            </w:rPr>
            <w:t>（一）技术路线</w:t>
          </w:r>
          <w:r>
            <w:tab/>
          </w:r>
          <w:r>
            <w:fldChar w:fldCharType="begin"/>
          </w:r>
          <w:r>
            <w:instrText xml:space="preserve"> PAGEREF _Toc23443 \h </w:instrText>
          </w:r>
          <w:r>
            <w:fldChar w:fldCharType="separate"/>
          </w:r>
          <w:r>
            <w:t>4</w:t>
          </w:r>
          <w:r>
            <w:fldChar w:fldCharType="end"/>
          </w:r>
          <w:r>
            <w:rPr>
              <w:rFonts w:hint="default"/>
              <w:bCs/>
              <w:szCs w:val="32"/>
              <w:lang w:val="en-US" w:eastAsia="zh-CN"/>
            </w:rPr>
            <w:fldChar w:fldCharType="end"/>
          </w:r>
        </w:p>
        <w:p>
          <w:pPr>
            <w:pStyle w:val="13"/>
            <w:tabs>
              <w:tab w:val="right" w:leader="dot" w:pos="8306"/>
            </w:tabs>
          </w:pPr>
          <w:r>
            <w:rPr>
              <w:rFonts w:hint="default"/>
              <w:bCs/>
              <w:szCs w:val="32"/>
              <w:lang w:val="en-US" w:eastAsia="zh-CN"/>
            </w:rPr>
            <w:fldChar w:fldCharType="begin"/>
          </w:r>
          <w:r>
            <w:rPr>
              <w:rFonts w:hint="default"/>
              <w:bCs/>
              <w:szCs w:val="32"/>
              <w:lang w:val="en-US" w:eastAsia="zh-CN"/>
            </w:rPr>
            <w:instrText xml:space="preserve"> HYPERLINK \l _Toc31241 </w:instrText>
          </w:r>
          <w:r>
            <w:rPr>
              <w:rFonts w:hint="default"/>
              <w:bCs/>
              <w:szCs w:val="32"/>
              <w:lang w:val="en-US" w:eastAsia="zh-CN"/>
            </w:rPr>
            <w:fldChar w:fldCharType="separate"/>
          </w:r>
          <w:r>
            <w:rPr>
              <w:rFonts w:hint="eastAsia"/>
              <w:lang w:val="en-US" w:eastAsia="zh-CN"/>
            </w:rPr>
            <w:t>（二）测算方法</w:t>
          </w:r>
          <w:r>
            <w:tab/>
          </w:r>
          <w:r>
            <w:fldChar w:fldCharType="begin"/>
          </w:r>
          <w:r>
            <w:instrText xml:space="preserve"> PAGEREF _Toc31241 \h </w:instrText>
          </w:r>
          <w:r>
            <w:fldChar w:fldCharType="separate"/>
          </w:r>
          <w:r>
            <w:t>4</w:t>
          </w:r>
          <w:r>
            <w:fldChar w:fldCharType="end"/>
          </w:r>
          <w:r>
            <w:rPr>
              <w:rFonts w:hint="default"/>
              <w:bCs/>
              <w:szCs w:val="32"/>
              <w:lang w:val="en-US" w:eastAsia="zh-CN"/>
            </w:rPr>
            <w:fldChar w:fldCharType="end"/>
          </w:r>
        </w:p>
        <w:p>
          <w:pPr>
            <w:pStyle w:val="11"/>
            <w:tabs>
              <w:tab w:val="right" w:leader="dot" w:pos="8306"/>
            </w:tabs>
          </w:pPr>
          <w:r>
            <w:rPr>
              <w:rFonts w:hint="default"/>
              <w:bCs/>
              <w:szCs w:val="32"/>
              <w:lang w:val="en-US" w:eastAsia="zh-CN"/>
            </w:rPr>
            <w:fldChar w:fldCharType="begin"/>
          </w:r>
          <w:r>
            <w:rPr>
              <w:rFonts w:hint="default"/>
              <w:bCs/>
              <w:szCs w:val="32"/>
              <w:lang w:val="en-US" w:eastAsia="zh-CN"/>
            </w:rPr>
            <w:instrText xml:space="preserve"> HYPERLINK \l _Toc11393 </w:instrText>
          </w:r>
          <w:r>
            <w:rPr>
              <w:rFonts w:hint="default"/>
              <w:bCs/>
              <w:szCs w:val="32"/>
              <w:lang w:val="en-US" w:eastAsia="zh-CN"/>
            </w:rPr>
            <w:fldChar w:fldCharType="separate"/>
          </w:r>
          <w:r>
            <w:rPr>
              <w:rFonts w:hint="eastAsia"/>
              <w:lang w:val="en-US" w:eastAsia="zh-CN"/>
            </w:rPr>
            <w:t>三、测算结果</w:t>
          </w:r>
          <w:r>
            <w:tab/>
          </w:r>
          <w:r>
            <w:fldChar w:fldCharType="begin"/>
          </w:r>
          <w:r>
            <w:instrText xml:space="preserve"> PAGEREF _Toc11393 \h </w:instrText>
          </w:r>
          <w:r>
            <w:fldChar w:fldCharType="separate"/>
          </w:r>
          <w:r>
            <w:t>6</w:t>
          </w:r>
          <w:r>
            <w:fldChar w:fldCharType="end"/>
          </w:r>
          <w:r>
            <w:rPr>
              <w:rFonts w:hint="default"/>
              <w:bCs/>
              <w:szCs w:val="32"/>
              <w:lang w:val="en-US" w:eastAsia="zh-CN"/>
            </w:rPr>
            <w:fldChar w:fldCharType="end"/>
          </w:r>
        </w:p>
        <w:p>
          <w:pPr>
            <w:pStyle w:val="11"/>
            <w:tabs>
              <w:tab w:val="right" w:leader="dot" w:pos="8306"/>
            </w:tabs>
          </w:pPr>
          <w:r>
            <w:rPr>
              <w:rFonts w:hint="default"/>
              <w:bCs/>
              <w:szCs w:val="32"/>
              <w:lang w:val="en-US" w:eastAsia="zh-CN"/>
            </w:rPr>
            <w:fldChar w:fldCharType="begin"/>
          </w:r>
          <w:r>
            <w:rPr>
              <w:rFonts w:hint="default"/>
              <w:bCs/>
              <w:szCs w:val="32"/>
              <w:lang w:val="en-US" w:eastAsia="zh-CN"/>
            </w:rPr>
            <w:instrText xml:space="preserve"> HYPERLINK \l _Toc20032 </w:instrText>
          </w:r>
          <w:r>
            <w:rPr>
              <w:rFonts w:hint="default"/>
              <w:bCs/>
              <w:szCs w:val="32"/>
              <w:lang w:val="en-US" w:eastAsia="zh-CN"/>
            </w:rPr>
            <w:fldChar w:fldCharType="separate"/>
          </w:r>
          <w:r>
            <w:rPr>
              <w:rFonts w:hint="eastAsia"/>
              <w:lang w:val="en-US" w:eastAsia="zh-CN"/>
            </w:rPr>
            <w:t>四、成果分析</w:t>
          </w:r>
          <w:r>
            <w:tab/>
          </w:r>
          <w:r>
            <w:fldChar w:fldCharType="begin"/>
          </w:r>
          <w:r>
            <w:instrText xml:space="preserve"> PAGEREF _Toc20032 \h </w:instrText>
          </w:r>
          <w:r>
            <w:fldChar w:fldCharType="separate"/>
          </w:r>
          <w:r>
            <w:t>7</w:t>
          </w:r>
          <w:r>
            <w:fldChar w:fldCharType="end"/>
          </w:r>
          <w:r>
            <w:rPr>
              <w:rFonts w:hint="default"/>
              <w:bCs/>
              <w:szCs w:val="32"/>
              <w:lang w:val="en-US" w:eastAsia="zh-CN"/>
            </w:rPr>
            <w:fldChar w:fldCharType="end"/>
          </w:r>
        </w:p>
        <w:p>
          <w:pPr>
            <w:pStyle w:val="13"/>
            <w:tabs>
              <w:tab w:val="right" w:leader="dot" w:pos="8306"/>
            </w:tabs>
          </w:pPr>
          <w:r>
            <w:rPr>
              <w:rFonts w:hint="default"/>
              <w:bCs/>
              <w:szCs w:val="32"/>
              <w:lang w:val="en-US" w:eastAsia="zh-CN"/>
            </w:rPr>
            <w:fldChar w:fldCharType="begin"/>
          </w:r>
          <w:r>
            <w:rPr>
              <w:rFonts w:hint="default"/>
              <w:bCs/>
              <w:szCs w:val="32"/>
              <w:lang w:val="en-US" w:eastAsia="zh-CN"/>
            </w:rPr>
            <w:instrText xml:space="preserve"> HYPERLINK \l _Toc21889 </w:instrText>
          </w:r>
          <w:r>
            <w:rPr>
              <w:rFonts w:hint="default"/>
              <w:bCs/>
              <w:szCs w:val="32"/>
              <w:lang w:val="en-US" w:eastAsia="zh-CN"/>
            </w:rPr>
            <w:fldChar w:fldCharType="separate"/>
          </w:r>
          <w:r>
            <w:rPr>
              <w:rFonts w:hint="eastAsia"/>
              <w:lang w:val="en-US" w:eastAsia="zh-CN"/>
            </w:rPr>
            <w:t>（一）与现行新能源项目用地租赁费比较</w:t>
          </w:r>
          <w:r>
            <w:tab/>
          </w:r>
          <w:r>
            <w:fldChar w:fldCharType="begin"/>
          </w:r>
          <w:r>
            <w:instrText xml:space="preserve"> PAGEREF _Toc21889 \h </w:instrText>
          </w:r>
          <w:r>
            <w:fldChar w:fldCharType="separate"/>
          </w:r>
          <w:r>
            <w:t>7</w:t>
          </w:r>
          <w:r>
            <w:fldChar w:fldCharType="end"/>
          </w:r>
          <w:r>
            <w:rPr>
              <w:rFonts w:hint="default"/>
              <w:bCs/>
              <w:szCs w:val="32"/>
              <w:lang w:val="en-US" w:eastAsia="zh-CN"/>
            </w:rPr>
            <w:fldChar w:fldCharType="end"/>
          </w:r>
        </w:p>
        <w:p>
          <w:pPr>
            <w:pStyle w:val="13"/>
            <w:tabs>
              <w:tab w:val="right" w:leader="dot" w:pos="8306"/>
            </w:tabs>
          </w:pPr>
          <w:r>
            <w:rPr>
              <w:rFonts w:hint="default"/>
              <w:bCs/>
              <w:szCs w:val="32"/>
              <w:lang w:val="en-US" w:eastAsia="zh-CN"/>
            </w:rPr>
            <w:fldChar w:fldCharType="begin"/>
          </w:r>
          <w:r>
            <w:rPr>
              <w:rFonts w:hint="default"/>
              <w:bCs/>
              <w:szCs w:val="32"/>
              <w:lang w:val="en-US" w:eastAsia="zh-CN"/>
            </w:rPr>
            <w:instrText xml:space="preserve"> HYPERLINK \l _Toc29293 </w:instrText>
          </w:r>
          <w:r>
            <w:rPr>
              <w:rFonts w:hint="default"/>
              <w:bCs/>
              <w:szCs w:val="32"/>
              <w:lang w:val="en-US" w:eastAsia="zh-CN"/>
            </w:rPr>
            <w:fldChar w:fldCharType="separate"/>
          </w:r>
          <w:r>
            <w:rPr>
              <w:rFonts w:hint="eastAsia"/>
              <w:lang w:val="en-US" w:eastAsia="zh-CN"/>
            </w:rPr>
            <w:t>（二）与周边县（市、区）新能源项目用地租赁费比较</w:t>
          </w:r>
          <w:r>
            <w:tab/>
          </w:r>
          <w:r>
            <w:fldChar w:fldCharType="begin"/>
          </w:r>
          <w:r>
            <w:instrText xml:space="preserve"> PAGEREF _Toc29293 \h </w:instrText>
          </w:r>
          <w:r>
            <w:fldChar w:fldCharType="separate"/>
          </w:r>
          <w:r>
            <w:t>7</w:t>
          </w:r>
          <w:r>
            <w:fldChar w:fldCharType="end"/>
          </w:r>
          <w:r>
            <w:rPr>
              <w:rFonts w:hint="default"/>
              <w:bCs/>
              <w:szCs w:val="32"/>
              <w:lang w:val="en-US" w:eastAsia="zh-CN"/>
            </w:rPr>
            <w:fldChar w:fldCharType="end"/>
          </w:r>
        </w:p>
        <w:p>
          <w:pPr>
            <w:pStyle w:val="11"/>
            <w:tabs>
              <w:tab w:val="right" w:leader="dot" w:pos="8306"/>
            </w:tabs>
          </w:pPr>
          <w:r>
            <w:rPr>
              <w:rFonts w:hint="default"/>
              <w:bCs/>
              <w:szCs w:val="32"/>
              <w:lang w:val="en-US" w:eastAsia="zh-CN"/>
            </w:rPr>
            <w:fldChar w:fldCharType="begin"/>
          </w:r>
          <w:r>
            <w:rPr>
              <w:rFonts w:hint="default"/>
              <w:bCs/>
              <w:szCs w:val="32"/>
              <w:lang w:val="en-US" w:eastAsia="zh-CN"/>
            </w:rPr>
            <w:instrText xml:space="preserve"> HYPERLINK \l _Toc23310 </w:instrText>
          </w:r>
          <w:r>
            <w:rPr>
              <w:rFonts w:hint="default"/>
              <w:bCs/>
              <w:szCs w:val="32"/>
              <w:lang w:val="en-US" w:eastAsia="zh-CN"/>
            </w:rPr>
            <w:fldChar w:fldCharType="separate"/>
          </w:r>
          <w:r>
            <w:rPr>
              <w:rFonts w:hint="eastAsia"/>
              <w:lang w:val="en-US" w:eastAsia="zh-CN"/>
            </w:rPr>
            <w:t>五、应用建议</w:t>
          </w:r>
          <w:r>
            <w:tab/>
          </w:r>
          <w:r>
            <w:fldChar w:fldCharType="begin"/>
          </w:r>
          <w:r>
            <w:instrText xml:space="preserve"> PAGEREF _Toc23310 \h </w:instrText>
          </w:r>
          <w:r>
            <w:fldChar w:fldCharType="separate"/>
          </w:r>
          <w:r>
            <w:t>10</w:t>
          </w:r>
          <w:r>
            <w:fldChar w:fldCharType="end"/>
          </w:r>
          <w:r>
            <w:rPr>
              <w:rFonts w:hint="default"/>
              <w:bCs/>
              <w:szCs w:val="32"/>
              <w:lang w:val="en-US" w:eastAsia="zh-CN"/>
            </w:rPr>
            <w:fldChar w:fldCharType="end"/>
          </w:r>
        </w:p>
        <w:p>
          <w:pPr>
            <w:pStyle w:val="13"/>
            <w:tabs>
              <w:tab w:val="right" w:leader="dot" w:pos="8306"/>
            </w:tabs>
          </w:pPr>
          <w:r>
            <w:rPr>
              <w:rFonts w:hint="default"/>
              <w:bCs/>
              <w:szCs w:val="32"/>
              <w:lang w:val="en-US" w:eastAsia="zh-CN"/>
            </w:rPr>
            <w:fldChar w:fldCharType="begin"/>
          </w:r>
          <w:r>
            <w:rPr>
              <w:rFonts w:hint="default"/>
              <w:bCs/>
              <w:szCs w:val="32"/>
              <w:lang w:val="en-US" w:eastAsia="zh-CN"/>
            </w:rPr>
            <w:instrText xml:space="preserve"> HYPERLINK \l _Toc7347 </w:instrText>
          </w:r>
          <w:r>
            <w:rPr>
              <w:rFonts w:hint="default"/>
              <w:bCs/>
              <w:szCs w:val="32"/>
              <w:lang w:val="en-US" w:eastAsia="zh-CN"/>
            </w:rPr>
            <w:fldChar w:fldCharType="separate"/>
          </w:r>
          <w:r>
            <w:rPr>
              <w:rFonts w:hint="eastAsia" w:ascii="方正楷体_GB2312" w:hAnsi="方正楷体_GB2312" w:eastAsia="方正楷体_GB2312" w:cs="方正楷体_GB2312"/>
              <w:lang w:val="en-US" w:eastAsia="zh-CN"/>
            </w:rPr>
            <w:t>（一）明确标准适用范围，规范用地管理</w:t>
          </w:r>
          <w:r>
            <w:tab/>
          </w:r>
          <w:r>
            <w:fldChar w:fldCharType="begin"/>
          </w:r>
          <w:r>
            <w:instrText xml:space="preserve"> PAGEREF _Toc7347 \h </w:instrText>
          </w:r>
          <w:r>
            <w:fldChar w:fldCharType="separate"/>
          </w:r>
          <w:r>
            <w:t>10</w:t>
          </w:r>
          <w:r>
            <w:fldChar w:fldCharType="end"/>
          </w:r>
          <w:r>
            <w:rPr>
              <w:rFonts w:hint="default"/>
              <w:bCs/>
              <w:szCs w:val="32"/>
              <w:lang w:val="en-US" w:eastAsia="zh-CN"/>
            </w:rPr>
            <w:fldChar w:fldCharType="end"/>
          </w:r>
        </w:p>
        <w:p>
          <w:pPr>
            <w:pStyle w:val="13"/>
            <w:tabs>
              <w:tab w:val="right" w:leader="dot" w:pos="8306"/>
            </w:tabs>
          </w:pPr>
          <w:r>
            <w:rPr>
              <w:rFonts w:hint="default"/>
              <w:bCs/>
              <w:szCs w:val="32"/>
              <w:lang w:val="en-US" w:eastAsia="zh-CN"/>
            </w:rPr>
            <w:fldChar w:fldCharType="begin"/>
          </w:r>
          <w:r>
            <w:rPr>
              <w:rFonts w:hint="default"/>
              <w:bCs/>
              <w:szCs w:val="32"/>
              <w:lang w:val="en-US" w:eastAsia="zh-CN"/>
            </w:rPr>
            <w:instrText xml:space="preserve"> HYPERLINK \l _Toc30747 </w:instrText>
          </w:r>
          <w:r>
            <w:rPr>
              <w:rFonts w:hint="default"/>
              <w:bCs/>
              <w:szCs w:val="32"/>
              <w:lang w:val="en-US" w:eastAsia="zh-CN"/>
            </w:rPr>
            <w:fldChar w:fldCharType="separate"/>
          </w:r>
          <w:r>
            <w:rPr>
              <w:rFonts w:hint="eastAsia" w:ascii="方正楷体_GB2312" w:hAnsi="方正楷体_GB2312" w:eastAsia="方正楷体_GB2312" w:cs="方正楷体_GB2312"/>
              <w:lang w:val="en-US" w:eastAsia="zh-CN"/>
            </w:rPr>
            <w:t>（二）建立动态调整机制</w:t>
          </w:r>
          <w:r>
            <w:tab/>
          </w:r>
          <w:r>
            <w:fldChar w:fldCharType="begin"/>
          </w:r>
          <w:r>
            <w:instrText xml:space="preserve"> PAGEREF _Toc30747 \h </w:instrText>
          </w:r>
          <w:r>
            <w:fldChar w:fldCharType="separate"/>
          </w:r>
          <w:r>
            <w:t>10</w:t>
          </w:r>
          <w:r>
            <w:fldChar w:fldCharType="end"/>
          </w:r>
          <w:r>
            <w:rPr>
              <w:rFonts w:hint="default"/>
              <w:bCs/>
              <w:szCs w:val="32"/>
              <w:lang w:val="en-US" w:eastAsia="zh-CN"/>
            </w:rPr>
            <w:fldChar w:fldCharType="end"/>
          </w:r>
        </w:p>
        <w:p>
          <w:pPr>
            <w:pStyle w:val="13"/>
            <w:tabs>
              <w:tab w:val="right" w:leader="dot" w:pos="8306"/>
            </w:tabs>
          </w:pPr>
          <w:r>
            <w:rPr>
              <w:rFonts w:hint="default"/>
              <w:bCs/>
              <w:szCs w:val="32"/>
              <w:lang w:val="en-US" w:eastAsia="zh-CN"/>
            </w:rPr>
            <w:fldChar w:fldCharType="begin"/>
          </w:r>
          <w:r>
            <w:rPr>
              <w:rFonts w:hint="default"/>
              <w:bCs/>
              <w:szCs w:val="32"/>
              <w:lang w:val="en-US" w:eastAsia="zh-CN"/>
            </w:rPr>
            <w:instrText xml:space="preserve"> HYPERLINK \l _Toc3082 </w:instrText>
          </w:r>
          <w:r>
            <w:rPr>
              <w:rFonts w:hint="default"/>
              <w:bCs/>
              <w:szCs w:val="32"/>
              <w:lang w:val="en-US" w:eastAsia="zh-CN"/>
            </w:rPr>
            <w:fldChar w:fldCharType="separate"/>
          </w:r>
          <w:r>
            <w:rPr>
              <w:rFonts w:hint="eastAsia" w:ascii="方正楷体_GB2312" w:hAnsi="方正楷体_GB2312" w:eastAsia="方正楷体_GB2312" w:cs="方正楷体_GB2312"/>
              <w:lang w:val="en-US" w:eastAsia="zh-CN"/>
            </w:rPr>
            <w:t>（三）完善公众参与</w:t>
          </w:r>
          <w:r>
            <w:tab/>
          </w:r>
          <w:r>
            <w:fldChar w:fldCharType="begin"/>
          </w:r>
          <w:r>
            <w:instrText xml:space="preserve"> PAGEREF _Toc3082 \h </w:instrText>
          </w:r>
          <w:r>
            <w:fldChar w:fldCharType="separate"/>
          </w:r>
          <w:r>
            <w:t>11</w:t>
          </w:r>
          <w:r>
            <w:fldChar w:fldCharType="end"/>
          </w:r>
          <w:r>
            <w:rPr>
              <w:rFonts w:hint="default"/>
              <w:bCs/>
              <w:szCs w:val="32"/>
              <w:lang w:val="en-US" w:eastAsia="zh-CN"/>
            </w:rPr>
            <w:fldChar w:fldCharType="end"/>
          </w:r>
        </w:p>
        <w:p>
          <w:pPr>
            <w:pStyle w:val="13"/>
            <w:tabs>
              <w:tab w:val="right" w:leader="dot" w:pos="8306"/>
            </w:tabs>
          </w:pPr>
          <w:r>
            <w:rPr>
              <w:rFonts w:hint="default"/>
              <w:bCs/>
              <w:szCs w:val="32"/>
              <w:lang w:val="en-US" w:eastAsia="zh-CN"/>
            </w:rPr>
            <w:fldChar w:fldCharType="begin"/>
          </w:r>
          <w:r>
            <w:rPr>
              <w:rFonts w:hint="default"/>
              <w:bCs/>
              <w:szCs w:val="32"/>
              <w:lang w:val="en-US" w:eastAsia="zh-CN"/>
            </w:rPr>
            <w:instrText xml:space="preserve"> HYPERLINK \l _Toc2102 </w:instrText>
          </w:r>
          <w:r>
            <w:rPr>
              <w:rFonts w:hint="default"/>
              <w:bCs/>
              <w:szCs w:val="32"/>
              <w:lang w:val="en-US" w:eastAsia="zh-CN"/>
            </w:rPr>
            <w:fldChar w:fldCharType="separate"/>
          </w:r>
          <w:r>
            <w:rPr>
              <w:rFonts w:hint="eastAsia" w:ascii="方正楷体_GB2312" w:hAnsi="方正楷体_GB2312" w:eastAsia="方正楷体_GB2312" w:cs="方正楷体_GB2312"/>
              <w:lang w:val="en-US" w:eastAsia="zh-CN"/>
            </w:rPr>
            <w:t>（五）加大监督与执法力度</w:t>
          </w:r>
          <w:r>
            <w:tab/>
          </w:r>
          <w:r>
            <w:fldChar w:fldCharType="begin"/>
          </w:r>
          <w:r>
            <w:instrText xml:space="preserve"> PAGEREF _Toc2102 \h </w:instrText>
          </w:r>
          <w:r>
            <w:fldChar w:fldCharType="separate"/>
          </w:r>
          <w:r>
            <w:t>11</w:t>
          </w:r>
          <w:r>
            <w:fldChar w:fldCharType="end"/>
          </w:r>
          <w:r>
            <w:rPr>
              <w:rFonts w:hint="default"/>
              <w:bCs/>
              <w:szCs w:val="32"/>
              <w:lang w:val="en-US" w:eastAsia="zh-CN"/>
            </w:rPr>
            <w:fldChar w:fldCharType="end"/>
          </w:r>
        </w:p>
        <w:p>
          <w:pPr>
            <w:pStyle w:val="13"/>
            <w:tabs>
              <w:tab w:val="right" w:leader="dot" w:pos="8306"/>
            </w:tabs>
          </w:pPr>
          <w:r>
            <w:rPr>
              <w:rFonts w:hint="default"/>
              <w:bCs/>
              <w:szCs w:val="32"/>
              <w:lang w:val="en-US" w:eastAsia="zh-CN"/>
            </w:rPr>
            <w:fldChar w:fldCharType="begin"/>
          </w:r>
          <w:r>
            <w:rPr>
              <w:rFonts w:hint="default"/>
              <w:bCs/>
              <w:szCs w:val="32"/>
              <w:lang w:val="en-US" w:eastAsia="zh-CN"/>
            </w:rPr>
            <w:instrText xml:space="preserve"> HYPERLINK \l _Toc11386 </w:instrText>
          </w:r>
          <w:r>
            <w:rPr>
              <w:rFonts w:hint="default"/>
              <w:bCs/>
              <w:szCs w:val="32"/>
              <w:lang w:val="en-US" w:eastAsia="zh-CN"/>
            </w:rPr>
            <w:fldChar w:fldCharType="separate"/>
          </w:r>
          <w:r>
            <w:rPr>
              <w:rFonts w:hint="eastAsia" w:ascii="方正楷体_GB2312" w:hAnsi="方正楷体_GB2312" w:eastAsia="方正楷体_GB2312" w:cs="方正楷体_GB2312"/>
              <w:lang w:val="en-US" w:eastAsia="zh-CN"/>
            </w:rPr>
            <w:t>（六）明确政策有效期</w:t>
          </w:r>
          <w:r>
            <w:tab/>
          </w:r>
          <w:r>
            <w:fldChar w:fldCharType="begin"/>
          </w:r>
          <w:r>
            <w:instrText xml:space="preserve"> PAGEREF _Toc11386 \h </w:instrText>
          </w:r>
          <w:r>
            <w:fldChar w:fldCharType="separate"/>
          </w:r>
          <w:r>
            <w:t>11</w:t>
          </w:r>
          <w:r>
            <w:fldChar w:fldCharType="end"/>
          </w:r>
          <w:r>
            <w:rPr>
              <w:rFonts w:hint="default"/>
              <w:bCs/>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heme="minorHAnsi" w:hAnsiTheme="minorHAnsi" w:eastAsiaTheme="minorEastAsia" w:cstheme="minorBidi"/>
              <w:bCs/>
              <w:kern w:val="2"/>
              <w:sz w:val="21"/>
              <w:szCs w:val="32"/>
              <w:lang w:val="en-US" w:eastAsia="zh-CN" w:bidi="ar-SA"/>
            </w:rPr>
          </w:pPr>
          <w:r>
            <w:rPr>
              <w:rFonts w:hint="default"/>
              <w:bCs/>
              <w:szCs w:val="32"/>
              <w:lang w:val="en-US" w:eastAsia="zh-CN"/>
            </w:rPr>
            <w:fldChar w:fldCharType="end"/>
          </w:r>
        </w:p>
      </w:sdtContent>
    </w:sdt>
    <w:p>
      <w:pPr>
        <w:jc w:val="both"/>
        <w:rPr>
          <w:rFonts w:hint="default" w:asciiTheme="minorHAnsi" w:hAnsiTheme="minorHAnsi" w:eastAsiaTheme="minorEastAsia" w:cstheme="minorBidi"/>
          <w:bCs/>
          <w:kern w:val="2"/>
          <w:sz w:val="21"/>
          <w:szCs w:val="32"/>
          <w:lang w:val="en-US" w:eastAsia="zh-CN" w:bidi="ar-SA"/>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pPr>
        <w:pStyle w:val="3"/>
        <w:bidi w:val="0"/>
        <w:rPr>
          <w:rFonts w:hint="default"/>
          <w:lang w:val="en-US" w:eastAsia="zh-CN"/>
        </w:rPr>
      </w:pPr>
      <w:bookmarkStart w:id="0" w:name="_Toc31897"/>
      <w:r>
        <w:rPr>
          <w:rFonts w:hint="eastAsia"/>
          <w:lang w:val="en-US" w:eastAsia="zh-CN"/>
        </w:rPr>
        <w:t>一、工作概况</w:t>
      </w:r>
      <w:bookmarkEnd w:id="0"/>
    </w:p>
    <w:p>
      <w:pPr>
        <w:pStyle w:val="4"/>
        <w:bidi w:val="0"/>
        <w:rPr>
          <w:rFonts w:hint="default"/>
          <w:lang w:val="en-US" w:eastAsia="zh-CN"/>
        </w:rPr>
      </w:pPr>
      <w:bookmarkStart w:id="1" w:name="_Toc25586"/>
      <w:r>
        <w:rPr>
          <w:rFonts w:hint="eastAsia"/>
          <w:lang w:val="en-US" w:eastAsia="zh-CN"/>
        </w:rPr>
        <w:t>（一）工作背景</w:t>
      </w:r>
      <w:bookmarkEnd w:id="1"/>
    </w:p>
    <w:p>
      <w:pPr>
        <w:snapToGrid w:val="0"/>
        <w:spacing w:line="580" w:lineRule="exact"/>
        <w:ind w:firstLine="600"/>
        <w:rPr>
          <w:rFonts w:hint="eastAsia" w:ascii="方正仿宋_GBK" w:hAnsi="方正仿宋_GBK" w:eastAsia="方正仿宋_GBK" w:cs="方正仿宋_GBK"/>
          <w:color w:val="000000"/>
          <w:sz w:val="30"/>
          <w:szCs w:val="30"/>
          <w:lang w:val="en-US" w:eastAsia="zh-CN"/>
        </w:rPr>
      </w:pPr>
      <w:bookmarkStart w:id="2" w:name="OLE_LINK188"/>
      <w:bookmarkStart w:id="3" w:name="OLE_LINK189"/>
      <w:bookmarkStart w:id="4" w:name="_Toc195625053"/>
      <w:r>
        <w:rPr>
          <w:rFonts w:hint="eastAsia" w:ascii="方正仿宋_GBK" w:hAnsi="方正仿宋_GBK" w:eastAsia="方正仿宋_GBK" w:cs="方正仿宋_GBK"/>
          <w:color w:val="000000"/>
          <w:sz w:val="30"/>
          <w:szCs w:val="30"/>
          <w:lang w:val="en-US" w:eastAsia="zh-CN"/>
        </w:rPr>
        <w:t>2015年，宁夏回族自治区人民政府办公厅《关于规范新能源产业用地的通知》，提出提高新能源产业用地效率，对电池组件和阵列之间不改变原土地类型、不转用为建设用地的土地，项目单位可与农村集体经济组织或原土地使用者协商补偿后，以租赁或承包方式取得土地使用权。</w:t>
      </w:r>
    </w:p>
    <w:p>
      <w:pPr>
        <w:snapToGrid w:val="0"/>
        <w:spacing w:line="580" w:lineRule="exact"/>
        <w:ind w:firstLine="600"/>
        <w:rPr>
          <w:rFonts w:hint="eastAsia" w:ascii="方正仿宋_GBK" w:hAnsi="方正仿宋_GBK" w:eastAsia="方正仿宋_GBK" w:cs="方正仿宋_GBK"/>
          <w:color w:val="000000"/>
          <w:sz w:val="30"/>
          <w:szCs w:val="30"/>
          <w:lang w:val="en-US" w:eastAsia="zh-CN"/>
        </w:rPr>
      </w:pPr>
      <w:r>
        <w:rPr>
          <w:rFonts w:hint="eastAsia" w:ascii="方正仿宋_GBK" w:hAnsi="方正仿宋_GBK" w:eastAsia="方正仿宋_GBK" w:cs="方正仿宋_GBK"/>
          <w:color w:val="000000"/>
          <w:sz w:val="30"/>
          <w:szCs w:val="30"/>
          <w:lang w:val="en-US" w:eastAsia="zh-CN"/>
        </w:rPr>
        <w:t>2023年3月20日，自然资源部办公厅、国家林业和草原局办公室、国家能源局综合司《关于支持光伏发电产业发展规范用地管理有关工作的通知》（自然资办发〔2023〕12号）要求，进一步支持绿色能源发展，加快大型光伏基地建设，规范项目用地管理，光伏方阵用地允许以租赁等方式取得，用地单位与农村集体经济组织或国有土地权利主体、当地乡镇政府签订用地与补偿协议。</w:t>
      </w:r>
    </w:p>
    <w:p>
      <w:pPr>
        <w:snapToGrid w:val="0"/>
        <w:spacing w:line="580" w:lineRule="exact"/>
        <w:ind w:firstLine="600"/>
        <w:rPr>
          <w:rFonts w:hint="default" w:ascii="方正仿宋_GBK" w:hAnsi="方正仿宋_GBK" w:eastAsia="方正仿宋_GBK" w:cs="方正仿宋_GBK"/>
          <w:color w:val="000000"/>
          <w:sz w:val="30"/>
          <w:szCs w:val="30"/>
          <w:lang w:val="en-US" w:eastAsia="zh-CN"/>
        </w:rPr>
      </w:pPr>
      <w:r>
        <w:rPr>
          <w:rFonts w:hint="default" w:ascii="方正仿宋_GBK" w:hAnsi="方正仿宋_GBK" w:eastAsia="方正仿宋_GBK" w:cs="方正仿宋_GBK"/>
          <w:color w:val="000000"/>
          <w:sz w:val="30"/>
          <w:szCs w:val="30"/>
          <w:lang w:val="en-US" w:eastAsia="zh-CN"/>
        </w:rPr>
        <w:t>近年来，利通区经济社会持续快速发展，重点基础设施建设、民生公益工程等项目落地需求日益迫切，</w:t>
      </w:r>
      <w:r>
        <w:rPr>
          <w:rFonts w:hint="eastAsia" w:ascii="方正仿宋_GBK" w:hAnsi="方正仿宋_GBK" w:eastAsia="方正仿宋_GBK" w:cs="方正仿宋_GBK"/>
          <w:color w:val="000000"/>
          <w:sz w:val="30"/>
          <w:szCs w:val="30"/>
          <w:lang w:val="en-US" w:eastAsia="zh-CN"/>
        </w:rPr>
        <w:t>随着新能源产业不断发展，用地需求规模逐年增加，为保障各类新能源产业项目有足够的用地空间，需进一步加强土地资源管理和节约集约利用，规范新能源产业用地行为</w:t>
      </w:r>
      <w:r>
        <w:rPr>
          <w:rFonts w:hint="default" w:ascii="方正仿宋_GBK" w:hAnsi="方正仿宋_GBK" w:eastAsia="方正仿宋_GBK" w:cs="方正仿宋_GBK"/>
          <w:color w:val="000000"/>
          <w:sz w:val="30"/>
          <w:szCs w:val="30"/>
          <w:lang w:val="en-US" w:eastAsia="zh-CN"/>
        </w:rPr>
        <w:t>。</w:t>
      </w:r>
    </w:p>
    <w:bookmarkEnd w:id="2"/>
    <w:bookmarkEnd w:id="3"/>
    <w:bookmarkEnd w:id="4"/>
    <w:p>
      <w:pPr>
        <w:pStyle w:val="4"/>
        <w:bidi w:val="0"/>
        <w:rPr>
          <w:rFonts w:hint="default"/>
          <w:lang w:val="en-US" w:eastAsia="zh-CN"/>
        </w:rPr>
      </w:pPr>
      <w:bookmarkStart w:id="5" w:name="_Toc17917"/>
      <w:r>
        <w:rPr>
          <w:rFonts w:hint="eastAsia"/>
          <w:lang w:val="en-US" w:eastAsia="zh-CN"/>
        </w:rPr>
        <w:t>（二）工作必要性</w:t>
      </w:r>
      <w:bookmarkEnd w:id="5"/>
    </w:p>
    <w:p>
      <w:pPr>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仿宋_GBK" w:hAnsi="方正仿宋_GBK" w:eastAsia="方正仿宋_GBK" w:cs="方正仿宋_GBK"/>
          <w:b w:val="0"/>
          <w:bCs w:val="0"/>
          <w:color w:val="auto"/>
          <w:sz w:val="30"/>
          <w:szCs w:val="30"/>
          <w:lang w:val="en-US" w:eastAsia="zh-CN"/>
        </w:rPr>
      </w:pPr>
      <w:r>
        <w:rPr>
          <w:rFonts w:hint="eastAsia" w:ascii="方正仿宋_GBK" w:hAnsi="方正仿宋_GBK" w:eastAsia="方正仿宋_GBK" w:cs="方正仿宋_GBK"/>
          <w:b w:val="0"/>
          <w:bCs w:val="0"/>
          <w:color w:val="auto"/>
          <w:sz w:val="30"/>
          <w:szCs w:val="30"/>
          <w:lang w:val="en-US" w:eastAsia="zh-CN"/>
        </w:rPr>
        <w:t>1.落实国家相关政策的要求</w:t>
      </w:r>
    </w:p>
    <w:p>
      <w:pPr>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仿宋_GBK" w:hAnsi="方正仿宋_GBK" w:eastAsia="方正仿宋_GBK" w:cs="方正仿宋_GBK"/>
          <w:b w:val="0"/>
          <w:bCs w:val="0"/>
          <w:color w:val="auto"/>
          <w:sz w:val="30"/>
          <w:szCs w:val="30"/>
          <w:lang w:val="en-US" w:eastAsia="zh-CN"/>
        </w:rPr>
      </w:pPr>
      <w:r>
        <w:rPr>
          <w:rFonts w:hint="eastAsia" w:ascii="方正仿宋_GBK" w:hAnsi="方正仿宋_GBK" w:eastAsia="方正仿宋_GBK" w:cs="方正仿宋_GBK"/>
          <w:b w:val="0"/>
          <w:bCs w:val="0"/>
          <w:color w:val="auto"/>
          <w:sz w:val="30"/>
          <w:szCs w:val="30"/>
          <w:lang w:val="en-US" w:eastAsia="zh-CN"/>
        </w:rPr>
        <w:t>依据《自然资源部办公厅 国家林业和草原局办公室 国家能源局综合司关于支持光伏发电产业发展规范用地管理有关工作的通知》（自然资办发〔2023〕12号），光伏方阵用地允许以租赁等方式取得，用地单位与农村集体经济组织或国有土地权利主体、当地乡镇政府签订用地与补偿协议。</w:t>
      </w:r>
      <w:r>
        <w:rPr>
          <w:rFonts w:hint="eastAsia" w:ascii="方正仿宋_GBK" w:hAnsi="方正仿宋_GBK" w:eastAsia="方正仿宋_GBK" w:cs="方正仿宋_GBK"/>
          <w:color w:val="auto"/>
          <w:sz w:val="30"/>
          <w:szCs w:val="30"/>
          <w:lang w:val="en-US" w:eastAsia="zh-CN"/>
        </w:rPr>
        <w:t>宁夏回族自治区人民政府办公厅《关于规范新能源产业用地的通知》，提出提高新能源产业用地效率，对电池组件和阵列之间不改变原土地类型、不转用为建设用地的土地，项目单位可与农村集体经济组织或原土地使用者协商补偿后，以租赁或承包方式取得土地使用权。</w:t>
      </w:r>
    </w:p>
    <w:p>
      <w:pPr>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仿宋_GBK" w:hAnsi="方正仿宋_GBK" w:eastAsia="方正仿宋_GBK" w:cs="方正仿宋_GBK"/>
          <w:b w:val="0"/>
          <w:bCs w:val="0"/>
          <w:color w:val="auto"/>
          <w:sz w:val="30"/>
          <w:szCs w:val="30"/>
          <w:lang w:val="en-US" w:eastAsia="zh-CN"/>
        </w:rPr>
      </w:pPr>
      <w:r>
        <w:rPr>
          <w:rFonts w:hint="eastAsia" w:ascii="方正仿宋_GBK" w:hAnsi="方正仿宋_GBK" w:eastAsia="方正仿宋_GBK" w:cs="方正仿宋_GBK"/>
          <w:b w:val="0"/>
          <w:bCs w:val="0"/>
          <w:color w:val="auto"/>
          <w:sz w:val="30"/>
          <w:szCs w:val="30"/>
          <w:lang w:val="en-US" w:eastAsia="zh-CN"/>
        </w:rPr>
        <w:t>2.规范用地行为，促进土地集约利用</w:t>
      </w:r>
    </w:p>
    <w:p>
      <w:pPr>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仿宋_GBK" w:hAnsi="方正仿宋_GBK" w:eastAsia="方正仿宋_GBK" w:cs="方正仿宋_GBK"/>
          <w:b w:val="0"/>
          <w:bCs w:val="0"/>
          <w:color w:val="auto"/>
          <w:sz w:val="30"/>
          <w:szCs w:val="30"/>
          <w:lang w:val="en-US" w:eastAsia="zh-CN"/>
        </w:rPr>
      </w:pPr>
      <w:r>
        <w:rPr>
          <w:rFonts w:hint="eastAsia" w:ascii="方正仿宋_GBK" w:hAnsi="方正仿宋_GBK" w:eastAsia="方正仿宋_GBK" w:cs="方正仿宋_GBK"/>
          <w:b w:val="0"/>
          <w:bCs w:val="0"/>
          <w:color w:val="auto"/>
          <w:sz w:val="30"/>
          <w:szCs w:val="30"/>
          <w:lang w:val="en-US" w:eastAsia="zh-CN"/>
        </w:rPr>
        <w:t xml:space="preserve">规范和严格新能源项目用地管理，切实加强耕地保护，促进节约集约用地，避免新能源用地范围界定不规范、超期使用、使用后复垦不到位及违规批准临时用地等问题。 </w:t>
      </w:r>
    </w:p>
    <w:p>
      <w:pPr>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3.规范土地管理，支撑经济发展</w:t>
      </w:r>
    </w:p>
    <w:p>
      <w:pPr>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通过确立规范统一的补偿标准，可以有效地降低企业在用地过程中的成本不确定性，规范土地管理，增强投资者的信心，不仅有助于吸引更多的投资，而且能够促进区域经济的可持续发展，为当地社会带来长远的经济利益。</w:t>
      </w:r>
    </w:p>
    <w:p>
      <w:pPr>
        <w:pStyle w:val="4"/>
        <w:bidi w:val="0"/>
        <w:rPr>
          <w:rFonts w:hint="default"/>
          <w:lang w:val="en-US" w:eastAsia="zh-CN"/>
        </w:rPr>
      </w:pPr>
      <w:bookmarkStart w:id="6" w:name="_Toc16845"/>
      <w:r>
        <w:rPr>
          <w:rFonts w:hint="eastAsia"/>
          <w:lang w:val="en-US" w:eastAsia="zh-CN"/>
        </w:rPr>
        <w:t>（三）基本原则</w:t>
      </w:r>
      <w:bookmarkEnd w:id="6"/>
    </w:p>
    <w:p>
      <w:pPr>
        <w:keepNext w:val="0"/>
        <w:keepLines w:val="0"/>
        <w:pageBreakBefore w:val="0"/>
        <w:widowControl w:val="0"/>
        <w:kinsoku/>
        <w:wordWrap/>
        <w:overflowPunct/>
        <w:topLinePunct w:val="0"/>
        <w:autoSpaceDE/>
        <w:autoSpaceDN/>
        <w:bidi w:val="0"/>
        <w:adjustRightInd/>
        <w:snapToGrid w:val="0"/>
        <w:spacing w:line="600" w:lineRule="exact"/>
        <w:ind w:firstLine="600"/>
        <w:textAlignment w:val="auto"/>
        <w:rPr>
          <w:rFonts w:hint="eastAsia" w:ascii="方正仿宋_GBK" w:hAnsi="方正仿宋_GBK" w:eastAsia="方正仿宋_GBK" w:cs="方正仿宋_GBK"/>
          <w:color w:val="000000"/>
          <w:sz w:val="30"/>
          <w:szCs w:val="30"/>
        </w:rPr>
      </w:pPr>
      <w:bookmarkStart w:id="7" w:name="_Toc2004465388"/>
      <w:bookmarkStart w:id="8" w:name="_Toc25940"/>
      <w:r>
        <w:rPr>
          <w:rFonts w:hint="eastAsia" w:ascii="方正仿宋_GBK" w:hAnsi="方正仿宋_GBK" w:eastAsia="方正仿宋_GBK" w:cs="方正仿宋_GBK"/>
          <w:color w:val="000000"/>
          <w:sz w:val="30"/>
          <w:szCs w:val="30"/>
          <w:lang w:val="en-US" w:eastAsia="zh-CN"/>
        </w:rPr>
        <w:t>1.</w:t>
      </w:r>
      <w:r>
        <w:rPr>
          <w:rFonts w:hint="eastAsia" w:ascii="方正仿宋_GBK" w:hAnsi="方正仿宋_GBK" w:eastAsia="方正仿宋_GBK" w:cs="方正仿宋_GBK"/>
          <w:color w:val="000000"/>
          <w:sz w:val="30"/>
          <w:szCs w:val="30"/>
        </w:rPr>
        <w:t>维护权益原则</w:t>
      </w:r>
    </w:p>
    <w:p>
      <w:pPr>
        <w:keepNext w:val="0"/>
        <w:keepLines w:val="0"/>
        <w:pageBreakBefore w:val="0"/>
        <w:widowControl w:val="0"/>
        <w:kinsoku/>
        <w:wordWrap/>
        <w:overflowPunct/>
        <w:topLinePunct w:val="0"/>
        <w:autoSpaceDE/>
        <w:autoSpaceDN/>
        <w:bidi w:val="0"/>
        <w:adjustRightInd/>
        <w:snapToGrid w:val="0"/>
        <w:spacing w:line="600" w:lineRule="exact"/>
        <w:ind w:firstLine="600"/>
        <w:textAlignment w:val="auto"/>
        <w:rPr>
          <w:rFonts w:hint="eastAsia" w:ascii="方正仿宋_GBK" w:hAnsi="方正仿宋_GBK" w:eastAsia="方正仿宋_GBK" w:cs="方正仿宋_GBK"/>
          <w:b w:val="0"/>
          <w:bCs w:val="0"/>
          <w:color w:val="000000"/>
          <w:kern w:val="2"/>
          <w:sz w:val="30"/>
          <w:szCs w:val="30"/>
          <w:lang w:val="en-US" w:eastAsia="zh-CN" w:bidi="ar-SA"/>
        </w:rPr>
      </w:pPr>
      <w:r>
        <w:rPr>
          <w:rFonts w:hint="eastAsia" w:ascii="方正仿宋_GBK" w:hAnsi="方正仿宋_GBK" w:eastAsia="方正仿宋_GBK" w:cs="方正仿宋_GBK"/>
          <w:b w:val="0"/>
          <w:bCs w:val="0"/>
          <w:color w:val="000000"/>
          <w:kern w:val="2"/>
          <w:sz w:val="30"/>
          <w:szCs w:val="30"/>
          <w:lang w:val="en-US" w:eastAsia="zh-CN" w:bidi="ar-SA"/>
        </w:rPr>
        <w:t xml:space="preserve">新能源项目用地租赁费的制定应体现公平合理的原则，充分维护国家、集体和土地使用者各方的合法权益。 </w:t>
      </w:r>
    </w:p>
    <w:p>
      <w:pPr>
        <w:keepNext w:val="0"/>
        <w:keepLines w:val="0"/>
        <w:pageBreakBefore w:val="0"/>
        <w:widowControl w:val="0"/>
        <w:kinsoku/>
        <w:wordWrap/>
        <w:overflowPunct/>
        <w:topLinePunct w:val="0"/>
        <w:autoSpaceDE/>
        <w:autoSpaceDN/>
        <w:bidi w:val="0"/>
        <w:adjustRightInd/>
        <w:snapToGrid w:val="0"/>
        <w:spacing w:line="600" w:lineRule="exact"/>
        <w:ind w:firstLine="600"/>
        <w:textAlignment w:val="auto"/>
        <w:rPr>
          <w:rFonts w:hint="eastAsia" w:ascii="方正仿宋_GBK" w:hAnsi="方正仿宋_GBK" w:eastAsia="方正仿宋_GBK" w:cs="方正仿宋_GBK"/>
          <w:b w:val="0"/>
          <w:bCs w:val="0"/>
          <w:color w:val="000000"/>
          <w:kern w:val="2"/>
          <w:sz w:val="30"/>
          <w:szCs w:val="30"/>
          <w:lang w:val="en-US" w:eastAsia="zh-CN" w:bidi="ar-SA"/>
        </w:rPr>
      </w:pPr>
      <w:r>
        <w:rPr>
          <w:rFonts w:hint="eastAsia" w:ascii="方正仿宋_GBK" w:hAnsi="方正仿宋_GBK" w:eastAsia="方正仿宋_GBK" w:cs="方正仿宋_GBK"/>
          <w:b w:val="0"/>
          <w:bCs w:val="0"/>
          <w:color w:val="000000"/>
          <w:kern w:val="2"/>
          <w:sz w:val="30"/>
          <w:szCs w:val="30"/>
          <w:lang w:val="en-US" w:eastAsia="zh-CN" w:bidi="ar-SA"/>
        </w:rPr>
        <w:t>2.衔接平衡原则</w:t>
      </w:r>
    </w:p>
    <w:p>
      <w:pPr>
        <w:keepNext w:val="0"/>
        <w:keepLines w:val="0"/>
        <w:pageBreakBefore w:val="0"/>
        <w:widowControl w:val="0"/>
        <w:kinsoku/>
        <w:wordWrap/>
        <w:overflowPunct/>
        <w:topLinePunct w:val="0"/>
        <w:autoSpaceDE/>
        <w:autoSpaceDN/>
        <w:bidi w:val="0"/>
        <w:adjustRightInd/>
        <w:snapToGrid w:val="0"/>
        <w:spacing w:line="600" w:lineRule="exact"/>
        <w:ind w:firstLine="600"/>
        <w:textAlignment w:val="auto"/>
        <w:rPr>
          <w:rFonts w:hint="eastAsia" w:ascii="方正仿宋_GBK" w:hAnsi="方正仿宋_GBK" w:eastAsia="方正仿宋_GBK" w:cs="方正仿宋_GBK"/>
          <w:b w:val="0"/>
          <w:bCs w:val="0"/>
          <w:color w:val="000000"/>
          <w:kern w:val="2"/>
          <w:sz w:val="30"/>
          <w:szCs w:val="30"/>
          <w:lang w:val="en-US" w:eastAsia="zh-CN" w:bidi="ar-SA"/>
        </w:rPr>
      </w:pPr>
      <w:r>
        <w:rPr>
          <w:rFonts w:hint="eastAsia" w:ascii="方正仿宋_GBK" w:hAnsi="方正仿宋_GBK" w:eastAsia="方正仿宋_GBK" w:cs="方正仿宋_GBK"/>
          <w:b w:val="0"/>
          <w:bCs w:val="0"/>
          <w:color w:val="000000"/>
          <w:kern w:val="2"/>
          <w:sz w:val="30"/>
          <w:szCs w:val="30"/>
          <w:lang w:val="en-US" w:eastAsia="zh-CN" w:bidi="ar-SA"/>
        </w:rPr>
        <w:t xml:space="preserve">新能源项目用地租赁费的制定与调整应注意时序衔接与空间平衡，即新能源项目用地租赁费水平较之前标准调整平稳；相邻区域间的新能源项目用地租赁费水平差异合理。 </w:t>
      </w:r>
    </w:p>
    <w:p>
      <w:pPr>
        <w:keepNext w:val="0"/>
        <w:keepLines w:val="0"/>
        <w:pageBreakBefore w:val="0"/>
        <w:widowControl w:val="0"/>
        <w:kinsoku/>
        <w:wordWrap/>
        <w:overflowPunct/>
        <w:topLinePunct w:val="0"/>
        <w:autoSpaceDE/>
        <w:autoSpaceDN/>
        <w:bidi w:val="0"/>
        <w:adjustRightInd/>
        <w:snapToGrid w:val="0"/>
        <w:spacing w:line="600" w:lineRule="exact"/>
        <w:ind w:firstLine="600"/>
        <w:textAlignment w:val="auto"/>
        <w:rPr>
          <w:rFonts w:hint="eastAsia" w:ascii="方正仿宋_GBK" w:hAnsi="方正仿宋_GBK" w:eastAsia="方正仿宋_GBK" w:cs="方正仿宋_GBK"/>
          <w:b w:val="0"/>
          <w:bCs w:val="0"/>
          <w:color w:val="000000"/>
          <w:kern w:val="2"/>
          <w:sz w:val="30"/>
          <w:szCs w:val="30"/>
          <w:lang w:val="en-US" w:eastAsia="zh-CN" w:bidi="ar-SA"/>
        </w:rPr>
      </w:pPr>
      <w:r>
        <w:rPr>
          <w:rFonts w:hint="eastAsia" w:ascii="方正仿宋_GBK" w:hAnsi="方正仿宋_GBK" w:eastAsia="方正仿宋_GBK" w:cs="方正仿宋_GBK"/>
          <w:b w:val="0"/>
          <w:bCs w:val="0"/>
          <w:color w:val="000000"/>
          <w:kern w:val="2"/>
          <w:sz w:val="30"/>
          <w:szCs w:val="30"/>
          <w:lang w:val="en-US" w:eastAsia="zh-CN" w:bidi="ar-SA"/>
        </w:rPr>
        <w:t>3.公众参与原则</w:t>
      </w:r>
    </w:p>
    <w:p>
      <w:pPr>
        <w:keepNext w:val="0"/>
        <w:keepLines w:val="0"/>
        <w:pageBreakBefore w:val="0"/>
        <w:widowControl w:val="0"/>
        <w:kinsoku/>
        <w:wordWrap/>
        <w:overflowPunct/>
        <w:topLinePunct w:val="0"/>
        <w:autoSpaceDE/>
        <w:autoSpaceDN/>
        <w:bidi w:val="0"/>
        <w:adjustRightInd/>
        <w:snapToGrid w:val="0"/>
        <w:spacing w:line="600" w:lineRule="exact"/>
        <w:ind w:firstLine="600"/>
        <w:textAlignment w:val="auto"/>
        <w:rPr>
          <w:rFonts w:hint="eastAsia" w:ascii="方正仿宋_GBK" w:hAnsi="方正仿宋_GBK" w:eastAsia="方正仿宋_GBK" w:cs="方正仿宋_GBK"/>
          <w:b w:val="0"/>
          <w:bCs w:val="0"/>
          <w:color w:val="000000"/>
          <w:kern w:val="2"/>
          <w:sz w:val="30"/>
          <w:szCs w:val="30"/>
          <w:lang w:val="en-US" w:eastAsia="zh-CN" w:bidi="ar-SA"/>
        </w:rPr>
      </w:pPr>
      <w:bookmarkStart w:id="9" w:name="OLE_LINK23"/>
      <w:bookmarkStart w:id="10" w:name="OLE_LINK22"/>
      <w:r>
        <w:rPr>
          <w:rFonts w:hint="eastAsia" w:ascii="方正仿宋_GBK" w:hAnsi="方正仿宋_GBK" w:eastAsia="方正仿宋_GBK" w:cs="方正仿宋_GBK"/>
          <w:b w:val="0"/>
          <w:bCs w:val="0"/>
          <w:color w:val="000000"/>
          <w:kern w:val="2"/>
          <w:sz w:val="30"/>
          <w:szCs w:val="30"/>
          <w:lang w:val="en-US" w:eastAsia="zh-CN" w:bidi="ar-SA"/>
        </w:rPr>
        <w:t>新能源项目用地租赁费制定</w:t>
      </w:r>
      <w:bookmarkEnd w:id="9"/>
      <w:bookmarkEnd w:id="10"/>
      <w:r>
        <w:rPr>
          <w:rFonts w:hint="eastAsia" w:ascii="方正仿宋_GBK" w:hAnsi="方正仿宋_GBK" w:eastAsia="方正仿宋_GBK" w:cs="方正仿宋_GBK"/>
          <w:b w:val="0"/>
          <w:bCs w:val="0"/>
          <w:color w:val="000000"/>
          <w:kern w:val="2"/>
          <w:sz w:val="30"/>
          <w:szCs w:val="30"/>
          <w:lang w:val="en-US" w:eastAsia="zh-CN" w:bidi="ar-SA"/>
        </w:rPr>
        <w:t xml:space="preserve">过程中，应当充分听取有关部门、农村集体经济组织、农民个人等社会公众意见；成果要依法组织听证，并向社会公开，接受监督。 </w:t>
      </w:r>
    </w:p>
    <w:bookmarkEnd w:id="7"/>
    <w:bookmarkEnd w:id="8"/>
    <w:p>
      <w:pPr>
        <w:pStyle w:val="4"/>
        <w:bidi w:val="0"/>
        <w:rPr>
          <w:rFonts w:hint="default"/>
          <w:lang w:val="en-US" w:eastAsia="zh-CN"/>
        </w:rPr>
      </w:pPr>
      <w:bookmarkStart w:id="11" w:name="_Toc27128"/>
      <w:r>
        <w:rPr>
          <w:rFonts w:hint="eastAsia"/>
          <w:lang w:val="en-US" w:eastAsia="zh-CN"/>
        </w:rPr>
        <w:t>（四）工作依据</w:t>
      </w:r>
      <w:bookmarkEnd w:id="11"/>
    </w:p>
    <w:p>
      <w:pPr>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1.法律法规及政策性文件依据</w:t>
      </w:r>
    </w:p>
    <w:p>
      <w:pPr>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（1）《中华人民共和国土地管理法》；</w:t>
      </w:r>
    </w:p>
    <w:p>
      <w:pPr>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（2）《中华人民共和国民法典》；</w:t>
      </w:r>
    </w:p>
    <w:p>
      <w:pPr>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（3）《中华人民共和国土地管理法实施条例》；</w:t>
      </w:r>
    </w:p>
    <w:p>
      <w:pPr>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（4）《宁夏回族自治区土地管理条例》；</w:t>
      </w:r>
    </w:p>
    <w:p>
      <w:pPr>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（5）《国务院办公厅转发国家发展改革委国家能源局关于促进新时代新能源高质量发展实施方案的通知》（国办函〔2022〕39号）；</w:t>
      </w:r>
    </w:p>
    <w:p>
      <w:pPr>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（6）《国家发展改革委 国家能源局 农业农村部关于组织开展“千乡万村驭风行动”的通知》（发改能源〔2024〕378号）；</w:t>
      </w:r>
    </w:p>
    <w:p>
      <w:pPr>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（7）《自然资源部办公厅 国家林业和草原局办公室 国家能源局综合司关于支持光伏发电产业发展规范用地管理有关工作的通知》（自然资办发〔2023〕12号）；</w:t>
      </w:r>
    </w:p>
    <w:p>
      <w:pPr>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（8）《自治区人民政府办公厅关于规范新能源产业用地的通知》（宁政办发〔2015〕108号）；</w:t>
      </w:r>
    </w:p>
    <w:p>
      <w:pPr>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（9）《自然资源部办公厅关于印发《产业用地政策实施工作指引（2019年版）》的通知》；</w:t>
      </w:r>
    </w:p>
    <w:p>
      <w:pPr>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（10）其他法规政策文件。</w:t>
      </w:r>
    </w:p>
    <w:p>
      <w:pPr>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2.技术标准</w:t>
      </w:r>
    </w:p>
    <w:p>
      <w:pPr>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（1）《自然资源价格评估通则》（TD/T 1061-2021）；</w:t>
      </w:r>
    </w:p>
    <w:p>
      <w:pPr>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（2）《农用地估价规程》（GB/T28406-2012）；</w:t>
      </w:r>
    </w:p>
    <w:p>
      <w:pPr>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default"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（3）《园地估价规程》（TD/T 1097-2024）；</w:t>
      </w:r>
    </w:p>
    <w:p>
      <w:pPr>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（4）《林地估价规程》（TD/T 1105-2025）；</w:t>
      </w:r>
    </w:p>
    <w:p>
      <w:pPr>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（5）《草地估价规程》（TD/T 1107-2025）；</w:t>
      </w:r>
    </w:p>
    <w:p>
      <w:pPr>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（6）《土地利用现状分类》（GB/T21010-2017）；</w:t>
      </w:r>
    </w:p>
    <w:p>
      <w:pPr>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（7）《土地基本术语》（GB/T 19231-2003）；</w:t>
      </w:r>
    </w:p>
    <w:p>
      <w:pPr>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（8）《国土空间调查、规划、用途管制用地用海分类指南》。</w:t>
      </w:r>
    </w:p>
    <w:p>
      <w:pPr>
        <w:rPr>
          <w:rFonts w:hint="eastAsia"/>
          <w:lang w:val="en-US" w:eastAsia="zh-CN"/>
        </w:rPr>
      </w:pPr>
    </w:p>
    <w:p>
      <w:pPr>
        <w:pStyle w:val="3"/>
        <w:bidi w:val="0"/>
        <w:rPr>
          <w:rFonts w:hint="default"/>
          <w:lang w:val="en-US" w:eastAsia="zh-CN"/>
        </w:rPr>
      </w:pPr>
      <w:bookmarkStart w:id="12" w:name="_Toc23125"/>
      <w:r>
        <w:rPr>
          <w:rFonts w:hint="eastAsia"/>
          <w:lang w:val="en-US" w:eastAsia="zh-CN"/>
        </w:rPr>
        <w:t>二、技术路线与方法</w:t>
      </w:r>
      <w:bookmarkEnd w:id="12"/>
    </w:p>
    <w:p>
      <w:pPr>
        <w:pStyle w:val="4"/>
        <w:bidi w:val="0"/>
        <w:rPr>
          <w:rFonts w:hint="default"/>
          <w:lang w:val="en-US" w:eastAsia="zh-CN"/>
        </w:rPr>
      </w:pPr>
      <w:bookmarkStart w:id="13" w:name="_Toc23443"/>
      <w:r>
        <w:rPr>
          <w:rFonts w:hint="eastAsia"/>
          <w:lang w:val="en-US" w:eastAsia="zh-CN"/>
        </w:rPr>
        <w:t>（一）技术路线</w:t>
      </w:r>
      <w:bookmarkEnd w:id="13"/>
    </w:p>
    <w:p>
      <w:pPr>
        <w:snapToGrid w:val="0"/>
        <w:spacing w:line="580" w:lineRule="exact"/>
        <w:ind w:firstLine="600"/>
        <w:rPr>
          <w:rFonts w:hint="eastAsia" w:ascii="方正仿宋_GBK" w:hAnsi="方正仿宋_GBK" w:eastAsia="方正仿宋_GBK" w:cs="方正仿宋_GBK"/>
          <w:color w:val="000000"/>
          <w:sz w:val="30"/>
          <w:szCs w:val="30"/>
          <w:lang w:val="en-US" w:eastAsia="zh-CN"/>
        </w:rPr>
      </w:pPr>
      <w:r>
        <w:rPr>
          <w:rFonts w:hint="eastAsia" w:ascii="方正仿宋_GBK" w:hAnsi="方正仿宋_GBK" w:eastAsia="方正仿宋_GBK" w:cs="方正仿宋_GBK"/>
          <w:color w:val="000000"/>
          <w:sz w:val="30"/>
          <w:szCs w:val="30"/>
          <w:lang w:val="en-US" w:eastAsia="zh-CN"/>
        </w:rPr>
        <w:t>本次利通区新能源项目用地租赁费测算工作的技术路线为：前期准备，资料收集与外业调查，采用市场比较法和地价折算法测算土地租赁费。测算成果形成后，进行论证、听证，最终形成新能源项目用地租赁费成果。</w:t>
      </w:r>
    </w:p>
    <w:p>
      <w:pPr>
        <w:pStyle w:val="4"/>
        <w:bidi w:val="0"/>
        <w:rPr>
          <w:rFonts w:hint="default"/>
          <w:lang w:val="en-US" w:eastAsia="zh-CN"/>
        </w:rPr>
      </w:pPr>
      <w:bookmarkStart w:id="14" w:name="_Toc31241"/>
      <w:r>
        <w:rPr>
          <w:rFonts w:hint="eastAsia"/>
          <w:lang w:val="en-US" w:eastAsia="zh-CN"/>
        </w:rPr>
        <w:t>（二）测算方法</w:t>
      </w:r>
      <w:bookmarkEnd w:id="14"/>
    </w:p>
    <w:p>
      <w:pPr>
        <w:spacing w:line="580" w:lineRule="exact"/>
        <w:ind w:firstLine="600"/>
        <w:rPr>
          <w:rFonts w:ascii="方正仿宋_GBK" w:hAnsi="方正仿宋_GBK" w:eastAsia="方正仿宋_GBK" w:cs="方正仿宋_GBK"/>
          <w:color w:val="000000"/>
          <w:sz w:val="30"/>
          <w:szCs w:val="30"/>
        </w:rPr>
      </w:pPr>
      <w:r>
        <w:rPr>
          <w:rFonts w:hint="eastAsia" w:ascii="方正仿宋_GBK" w:hAnsi="方正仿宋_GBK" w:eastAsia="方正仿宋_GBK" w:cs="方正仿宋_GBK"/>
          <w:b w:val="0"/>
          <w:bCs w:val="0"/>
          <w:sz w:val="30"/>
          <w:szCs w:val="30"/>
          <w:lang w:val="en-US" w:eastAsia="zh-CN"/>
        </w:rPr>
        <w:t>根据《农用地估价规程》，租赁价格测算的常用方法一般有市场比较法和地价折算法。依据技术要求和适用条件，本次测算选用市场比较法和</w:t>
      </w:r>
      <w:r>
        <w:rPr>
          <w:rFonts w:hint="eastAsia" w:ascii="方正仿宋_GBK" w:hAnsi="方正仿宋_GBK" w:eastAsia="方正仿宋_GBK" w:cs="方正仿宋_GBK"/>
          <w:color w:val="000000"/>
          <w:sz w:val="30"/>
          <w:szCs w:val="30"/>
          <w:lang w:eastAsia="zh-CN"/>
        </w:rPr>
        <w:t>地价折算法</w:t>
      </w:r>
      <w:r>
        <w:rPr>
          <w:rFonts w:hint="eastAsia" w:ascii="方正仿宋_GBK" w:hAnsi="方正仿宋_GBK" w:eastAsia="方正仿宋_GBK" w:cs="方正仿宋_GBK"/>
          <w:color w:val="000000"/>
          <w:sz w:val="30"/>
          <w:szCs w:val="30"/>
        </w:rPr>
        <w:t>进行测算。</w:t>
      </w:r>
    </w:p>
    <w:p>
      <w:pPr>
        <w:spacing w:line="580" w:lineRule="exact"/>
        <w:ind w:firstLine="600"/>
        <w:rPr>
          <w:rFonts w:hint="default" w:ascii="方正仿宋_GBK" w:hAnsi="方正仿宋_GBK" w:eastAsia="方正仿宋_GBK" w:cs="方正仿宋_GBK"/>
          <w:color w:val="000000"/>
          <w:sz w:val="30"/>
          <w:szCs w:val="30"/>
          <w:lang w:val="en-US" w:eastAsia="zh-CN"/>
        </w:rPr>
      </w:pPr>
      <w:r>
        <w:rPr>
          <w:rFonts w:hint="eastAsia" w:ascii="方正仿宋_GBK" w:hAnsi="方正仿宋_GBK" w:eastAsia="方正仿宋_GBK" w:cs="方正仿宋_GBK"/>
          <w:color w:val="000000"/>
          <w:sz w:val="30"/>
          <w:szCs w:val="30"/>
          <w:lang w:val="en-US" w:eastAsia="zh-CN"/>
        </w:rPr>
        <w:t>1.市场比较法</w:t>
      </w:r>
    </w:p>
    <w:p>
      <w:pPr>
        <w:spacing w:line="580" w:lineRule="exact"/>
        <w:ind w:firstLine="600"/>
        <w:rPr>
          <w:rFonts w:hint="eastAsia" w:ascii="方正仿宋_GBK" w:hAnsi="方正仿宋_GBK" w:eastAsia="方正仿宋_GBK" w:cs="方正仿宋_GBK"/>
          <w:color w:val="000000"/>
          <w:sz w:val="30"/>
          <w:szCs w:val="30"/>
          <w:lang w:val="en-US" w:eastAsia="zh-CN"/>
        </w:rPr>
      </w:pPr>
      <w:r>
        <w:rPr>
          <w:rFonts w:hint="eastAsia" w:ascii="方正仿宋_GBK" w:hAnsi="方正仿宋_GBK" w:eastAsia="方正仿宋_GBK" w:cs="方正仿宋_GBK"/>
          <w:color w:val="000000"/>
          <w:sz w:val="30"/>
          <w:szCs w:val="30"/>
          <w:lang w:val="en-US" w:eastAsia="zh-CN"/>
        </w:rPr>
        <w:t>市场比较法是根据替代原理，将估价对象与近期市场上的类似的新能源项目用地进行比较，并对类似新能源项目用地的租赁费进行适当修正，以此估算估价对象租赁费的方法。</w:t>
      </w:r>
    </w:p>
    <w:p>
      <w:pPr>
        <w:spacing w:line="580" w:lineRule="exact"/>
        <w:ind w:firstLine="600"/>
        <w:rPr>
          <w:rFonts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lang w:val="en-US" w:eastAsia="zh-CN"/>
        </w:rPr>
        <w:t>（1）</w:t>
      </w:r>
      <w:r>
        <w:rPr>
          <w:rFonts w:hint="eastAsia" w:ascii="方正仿宋_GBK" w:hAnsi="方正仿宋_GBK" w:eastAsia="方正仿宋_GBK" w:cs="方正仿宋_GBK"/>
          <w:color w:val="000000"/>
          <w:sz w:val="30"/>
          <w:szCs w:val="30"/>
        </w:rPr>
        <w:t>基本公式</w:t>
      </w:r>
    </w:p>
    <w:p>
      <w:pPr>
        <w:spacing w:line="580" w:lineRule="exact"/>
        <w:ind w:firstLine="600"/>
        <w:rPr>
          <w:rFonts w:hint="eastAsia" w:ascii="方正仿宋_GBK" w:hAnsi="方正仿宋_GBK" w:eastAsia="方正仿宋_GBK" w:cs="方正仿宋_GBK"/>
          <w:color w:val="000000"/>
          <w:sz w:val="30"/>
          <w:szCs w:val="30"/>
          <w:lang w:val="en-US" w:eastAsia="zh-CN"/>
        </w:rPr>
      </w:pPr>
      <w:r>
        <w:rPr>
          <w:rFonts w:hint="eastAsia" w:ascii="方正仿宋_GBK" w:hAnsi="方正仿宋_GBK" w:eastAsia="方正仿宋_GBK" w:cs="方正仿宋_GBK"/>
          <w:color w:val="000000"/>
          <w:sz w:val="30"/>
          <w:szCs w:val="30"/>
          <w:lang w:val="en-US" w:eastAsia="zh-CN"/>
        </w:rPr>
        <w:t>P= P</w:t>
      </w:r>
      <w:r>
        <w:rPr>
          <w:rFonts w:hint="eastAsia" w:ascii="方正仿宋_GBK" w:hAnsi="方正仿宋_GBK" w:eastAsia="方正仿宋_GBK" w:cs="方正仿宋_GBK"/>
          <w:color w:val="000000"/>
          <w:sz w:val="30"/>
          <w:szCs w:val="30"/>
          <w:vertAlign w:val="subscript"/>
          <w:lang w:val="en-US" w:eastAsia="zh-CN"/>
        </w:rPr>
        <w:t>b</w:t>
      </w:r>
      <w:r>
        <w:rPr>
          <w:rFonts w:hint="eastAsia" w:ascii="方正仿宋_GBK" w:hAnsi="方正仿宋_GBK" w:eastAsia="方正仿宋_GBK" w:cs="方正仿宋_GBK"/>
          <w:color w:val="000000"/>
          <w:sz w:val="30"/>
          <w:szCs w:val="30"/>
          <w:lang w:val="en-US" w:eastAsia="zh-CN"/>
        </w:rPr>
        <w:t>✕K</w:t>
      </w:r>
      <w:r>
        <w:rPr>
          <w:rFonts w:hint="eastAsia" w:ascii="方正仿宋_GBK" w:hAnsi="方正仿宋_GBK" w:eastAsia="方正仿宋_GBK" w:cs="方正仿宋_GBK"/>
          <w:color w:val="000000"/>
          <w:sz w:val="30"/>
          <w:szCs w:val="30"/>
          <w:vertAlign w:val="subscript"/>
          <w:lang w:val="en-US" w:eastAsia="zh-CN"/>
        </w:rPr>
        <w:t>c</w:t>
      </w:r>
      <w:r>
        <w:rPr>
          <w:rFonts w:hint="eastAsia" w:ascii="方正仿宋_GBK" w:hAnsi="方正仿宋_GBK" w:eastAsia="方正仿宋_GBK" w:cs="方正仿宋_GBK"/>
          <w:color w:val="000000"/>
          <w:sz w:val="30"/>
          <w:szCs w:val="30"/>
          <w:lang w:val="en-US" w:eastAsia="zh-CN"/>
        </w:rPr>
        <w:t>✕K</w:t>
      </w:r>
      <w:r>
        <w:rPr>
          <w:rFonts w:hint="eastAsia" w:ascii="方正仿宋_GBK" w:hAnsi="方正仿宋_GBK" w:eastAsia="方正仿宋_GBK" w:cs="方正仿宋_GBK"/>
          <w:color w:val="000000"/>
          <w:sz w:val="30"/>
          <w:szCs w:val="30"/>
          <w:vertAlign w:val="subscript"/>
          <w:lang w:val="en-US" w:eastAsia="zh-CN"/>
        </w:rPr>
        <w:t>t</w:t>
      </w:r>
      <w:r>
        <w:rPr>
          <w:rFonts w:hint="eastAsia" w:ascii="方正仿宋_GBK" w:hAnsi="方正仿宋_GBK" w:eastAsia="方正仿宋_GBK" w:cs="方正仿宋_GBK"/>
          <w:color w:val="000000"/>
          <w:sz w:val="30"/>
          <w:szCs w:val="30"/>
          <w:lang w:val="en-US" w:eastAsia="zh-CN"/>
        </w:rPr>
        <w:t>✕K</w:t>
      </w:r>
      <w:r>
        <w:rPr>
          <w:rFonts w:hint="eastAsia" w:ascii="方正仿宋_GBK" w:hAnsi="方正仿宋_GBK" w:eastAsia="方正仿宋_GBK" w:cs="方正仿宋_GBK"/>
          <w:color w:val="000000"/>
          <w:sz w:val="30"/>
          <w:szCs w:val="30"/>
          <w:vertAlign w:val="subscript"/>
          <w:lang w:val="en-US" w:eastAsia="zh-CN"/>
        </w:rPr>
        <w:t>n</w:t>
      </w:r>
      <w:r>
        <w:rPr>
          <w:rFonts w:hint="eastAsia" w:ascii="方正仿宋_GBK" w:hAnsi="方正仿宋_GBK" w:eastAsia="方正仿宋_GBK" w:cs="方正仿宋_GBK"/>
          <w:color w:val="000000"/>
          <w:sz w:val="30"/>
          <w:szCs w:val="30"/>
          <w:lang w:val="en-US" w:eastAsia="zh-CN"/>
        </w:rPr>
        <w:t>✕K</w:t>
      </w:r>
      <w:r>
        <w:rPr>
          <w:rFonts w:hint="eastAsia" w:ascii="方正仿宋_GBK" w:hAnsi="方正仿宋_GBK" w:eastAsia="方正仿宋_GBK" w:cs="方正仿宋_GBK"/>
          <w:color w:val="000000"/>
          <w:sz w:val="30"/>
          <w:szCs w:val="30"/>
          <w:vertAlign w:val="subscript"/>
          <w:lang w:val="en-US" w:eastAsia="zh-CN"/>
        </w:rPr>
        <w:t>e</w:t>
      </w:r>
      <w:r>
        <w:rPr>
          <w:rFonts w:hint="eastAsia" w:ascii="方正仿宋_GBK" w:hAnsi="方正仿宋_GBK" w:eastAsia="方正仿宋_GBK" w:cs="方正仿宋_GBK"/>
          <w:color w:val="000000"/>
          <w:sz w:val="30"/>
          <w:szCs w:val="30"/>
          <w:lang w:val="en-US" w:eastAsia="zh-CN"/>
        </w:rPr>
        <w:t>✕K</w:t>
      </w:r>
      <w:r>
        <w:rPr>
          <w:rFonts w:hint="eastAsia" w:ascii="方正仿宋_GBK" w:hAnsi="方正仿宋_GBK" w:eastAsia="方正仿宋_GBK" w:cs="方正仿宋_GBK"/>
          <w:color w:val="000000"/>
          <w:sz w:val="30"/>
          <w:szCs w:val="30"/>
          <w:vertAlign w:val="subscript"/>
          <w:lang w:val="en-US" w:eastAsia="zh-CN"/>
        </w:rPr>
        <w:t>s</w:t>
      </w:r>
      <w:r>
        <w:rPr>
          <w:rFonts w:hint="eastAsia" w:ascii="方正仿宋_GBK" w:hAnsi="方正仿宋_GBK" w:eastAsia="方正仿宋_GBK" w:cs="方正仿宋_GBK"/>
          <w:color w:val="000000"/>
          <w:sz w:val="30"/>
          <w:szCs w:val="30"/>
          <w:lang w:val="en-US" w:eastAsia="zh-CN"/>
        </w:rPr>
        <w:t>✕K</w:t>
      </w:r>
      <w:r>
        <w:rPr>
          <w:rFonts w:hint="eastAsia" w:ascii="方正仿宋_GBK" w:hAnsi="方正仿宋_GBK" w:eastAsia="方正仿宋_GBK" w:cs="方正仿宋_GBK"/>
          <w:color w:val="000000"/>
          <w:sz w:val="30"/>
          <w:szCs w:val="30"/>
          <w:vertAlign w:val="subscript"/>
          <w:lang w:val="en-US" w:eastAsia="zh-CN"/>
        </w:rPr>
        <w:t>y</w:t>
      </w:r>
    </w:p>
    <w:p>
      <w:pPr>
        <w:pStyle w:val="8"/>
        <w:snapToGrid w:val="0"/>
        <w:spacing w:line="400" w:lineRule="exact"/>
        <w:ind w:right="280" w:firstLine="600" w:firstLineChars="200"/>
        <w:jc w:val="both"/>
        <w:textAlignment w:val="auto"/>
        <w:rPr>
          <w:rFonts w:hint="eastAsia" w:ascii="方正仿宋_GBK" w:hAnsi="方正仿宋_GBK" w:eastAsia="方正仿宋_GBK" w:cs="方正仿宋_GBK"/>
          <w:snapToGrid/>
          <w:color w:val="000000"/>
          <w:kern w:val="2"/>
          <w:sz w:val="30"/>
          <w:szCs w:val="30"/>
          <w:lang w:val="en-US" w:eastAsia="zh-CN" w:bidi="ar-SA"/>
        </w:rPr>
      </w:pPr>
      <w:r>
        <w:rPr>
          <w:rFonts w:hint="eastAsia" w:ascii="方正仿宋_GBK" w:hAnsi="方正仿宋_GBK" w:eastAsia="方正仿宋_GBK" w:cs="方正仿宋_GBK"/>
          <w:snapToGrid/>
          <w:color w:val="000000"/>
          <w:kern w:val="2"/>
          <w:sz w:val="30"/>
          <w:szCs w:val="30"/>
          <w:lang w:val="en-US" w:eastAsia="zh-CN" w:bidi="ar-SA"/>
        </w:rPr>
        <w:t>其中：</w:t>
      </w:r>
    </w:p>
    <w:p>
      <w:pPr>
        <w:keepNext w:val="0"/>
        <w:keepLines w:val="0"/>
        <w:pageBreakBefore w:val="0"/>
        <w:widowControl w:val="0"/>
        <w:kinsoku/>
        <w:wordWrap/>
        <w:overflowPunct/>
        <w:topLinePunct w:val="0"/>
        <w:autoSpaceDE/>
        <w:autoSpaceDN/>
        <w:bidi w:val="0"/>
        <w:adjustRightInd/>
        <w:snapToGrid w:val="0"/>
        <w:spacing w:line="600" w:lineRule="exact"/>
        <w:ind w:firstLine="1200" w:firstLineChars="400"/>
        <w:textAlignment w:val="auto"/>
        <w:rPr>
          <w:rFonts w:hint="eastAsia" w:ascii="方正仿宋_GBK" w:hAnsi="方正仿宋_GBK" w:eastAsia="方正仿宋_GBK" w:cs="方正仿宋_GBK"/>
          <w:snapToGrid/>
          <w:color w:val="000000"/>
          <w:kern w:val="2"/>
          <w:sz w:val="30"/>
          <w:szCs w:val="30"/>
          <w:lang w:val="en-US" w:eastAsia="zh-CN" w:bidi="ar-SA"/>
        </w:rPr>
      </w:pPr>
      <w:r>
        <w:rPr>
          <w:rFonts w:hint="eastAsia" w:ascii="方正仿宋_GBK" w:hAnsi="方正仿宋_GBK" w:eastAsia="方正仿宋_GBK" w:cs="方正仿宋_GBK"/>
          <w:color w:val="000000"/>
          <w:sz w:val="30"/>
          <w:szCs w:val="30"/>
          <w:lang w:val="en-US" w:eastAsia="zh-CN"/>
        </w:rPr>
        <w:t>P</w:t>
      </w:r>
      <w:r>
        <w:rPr>
          <w:rFonts w:hint="eastAsia" w:ascii="方正仿宋_GBK" w:hAnsi="方正仿宋_GBK" w:eastAsia="方正仿宋_GBK" w:cs="方正仿宋_GBK"/>
          <w:color w:val="000000"/>
          <w:sz w:val="30"/>
          <w:szCs w:val="30"/>
        </w:rPr>
        <w:t>—</w:t>
      </w:r>
      <w:r>
        <w:rPr>
          <w:rFonts w:hint="eastAsia" w:ascii="方正仿宋_GBK" w:hAnsi="方正仿宋_GBK" w:eastAsia="方正仿宋_GBK" w:cs="方正仿宋_GBK"/>
          <w:color w:val="000000"/>
          <w:sz w:val="30"/>
          <w:szCs w:val="30"/>
          <w:lang w:eastAsia="zh-CN"/>
        </w:rPr>
        <w:t>比准价格</w:t>
      </w:r>
      <w:r>
        <w:rPr>
          <w:rFonts w:hint="eastAsia" w:ascii="方正仿宋_GBK" w:hAnsi="方正仿宋_GBK" w:eastAsia="方正仿宋_GBK" w:cs="方正仿宋_GBK"/>
          <w:snapToGrid/>
          <w:color w:val="00000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600" w:lineRule="exact"/>
        <w:ind w:firstLine="1200" w:firstLineChars="400"/>
        <w:textAlignment w:val="auto"/>
        <w:rPr>
          <w:rFonts w:hint="eastAsia" w:ascii="方正仿宋_GBK" w:hAnsi="方正仿宋_GBK" w:eastAsia="方正仿宋_GBK" w:cs="方正仿宋_GBK"/>
          <w:snapToGrid/>
          <w:color w:val="000000"/>
          <w:kern w:val="2"/>
          <w:sz w:val="30"/>
          <w:szCs w:val="30"/>
          <w:lang w:val="en-US" w:eastAsia="zh-CN" w:bidi="ar-SA"/>
        </w:rPr>
      </w:pPr>
      <w:r>
        <w:rPr>
          <w:rFonts w:hint="eastAsia" w:ascii="方正仿宋_GBK" w:hAnsi="方正仿宋_GBK" w:eastAsia="方正仿宋_GBK" w:cs="方正仿宋_GBK"/>
          <w:color w:val="000000"/>
          <w:sz w:val="30"/>
          <w:szCs w:val="30"/>
          <w:lang w:val="en-US" w:eastAsia="zh-CN"/>
        </w:rPr>
        <w:t>P</w:t>
      </w:r>
      <w:r>
        <w:rPr>
          <w:rFonts w:hint="eastAsia" w:ascii="方正仿宋_GBK" w:hAnsi="方正仿宋_GBK" w:eastAsia="方正仿宋_GBK" w:cs="方正仿宋_GBK"/>
          <w:color w:val="000000"/>
          <w:sz w:val="30"/>
          <w:szCs w:val="30"/>
          <w:vertAlign w:val="subscript"/>
          <w:lang w:val="en-US" w:eastAsia="zh-CN"/>
        </w:rPr>
        <w:t>b</w:t>
      </w:r>
      <w:r>
        <w:rPr>
          <w:rFonts w:hint="eastAsia" w:ascii="方正仿宋_GBK" w:hAnsi="方正仿宋_GBK" w:eastAsia="方正仿宋_GBK" w:cs="方正仿宋_GBK"/>
          <w:color w:val="000000"/>
          <w:sz w:val="30"/>
          <w:szCs w:val="30"/>
        </w:rPr>
        <w:t>—</w:t>
      </w:r>
      <w:r>
        <w:rPr>
          <w:rFonts w:hint="eastAsia" w:ascii="方正仿宋_GBK" w:hAnsi="方正仿宋_GBK" w:eastAsia="方正仿宋_GBK" w:cs="方正仿宋_GBK"/>
          <w:color w:val="000000"/>
          <w:sz w:val="30"/>
          <w:szCs w:val="30"/>
          <w:lang w:eastAsia="zh-CN"/>
        </w:rPr>
        <w:t>交易实例价格</w:t>
      </w:r>
      <w:r>
        <w:rPr>
          <w:rFonts w:hint="eastAsia" w:ascii="方正仿宋_GBK" w:hAnsi="方正仿宋_GBK" w:eastAsia="方正仿宋_GBK" w:cs="方正仿宋_GBK"/>
          <w:snapToGrid/>
          <w:color w:val="00000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600" w:lineRule="exact"/>
        <w:ind w:firstLine="1200" w:firstLineChars="400"/>
        <w:textAlignment w:val="auto"/>
        <w:rPr>
          <w:rFonts w:hint="eastAsia" w:ascii="方正仿宋_GBK" w:hAnsi="方正仿宋_GBK" w:eastAsia="方正仿宋_GBK" w:cs="方正仿宋_GBK"/>
          <w:snapToGrid/>
          <w:color w:val="000000"/>
          <w:kern w:val="2"/>
          <w:sz w:val="30"/>
          <w:szCs w:val="30"/>
          <w:lang w:val="en-US" w:eastAsia="zh-CN" w:bidi="ar-SA"/>
        </w:rPr>
      </w:pPr>
      <w:r>
        <w:rPr>
          <w:rFonts w:hint="eastAsia" w:ascii="方正仿宋_GBK" w:hAnsi="方正仿宋_GBK" w:eastAsia="方正仿宋_GBK" w:cs="方正仿宋_GBK"/>
          <w:color w:val="000000"/>
          <w:sz w:val="30"/>
          <w:szCs w:val="30"/>
          <w:lang w:val="en-US" w:eastAsia="zh-CN"/>
        </w:rPr>
        <w:t>K</w:t>
      </w:r>
      <w:r>
        <w:rPr>
          <w:rFonts w:hint="eastAsia" w:ascii="方正仿宋_GBK" w:hAnsi="方正仿宋_GBK" w:eastAsia="方正仿宋_GBK" w:cs="方正仿宋_GBK"/>
          <w:color w:val="000000"/>
          <w:sz w:val="30"/>
          <w:szCs w:val="30"/>
          <w:vertAlign w:val="subscript"/>
          <w:lang w:val="en-US" w:eastAsia="zh-CN"/>
        </w:rPr>
        <w:t>c</w:t>
      </w:r>
      <w:r>
        <w:rPr>
          <w:rFonts w:hint="eastAsia" w:ascii="方正仿宋_GBK" w:hAnsi="方正仿宋_GBK" w:eastAsia="方正仿宋_GBK" w:cs="方正仿宋_GBK"/>
          <w:color w:val="000000"/>
          <w:sz w:val="30"/>
          <w:szCs w:val="30"/>
        </w:rPr>
        <w:t>—</w:t>
      </w:r>
      <w:r>
        <w:rPr>
          <w:rFonts w:hint="eastAsia" w:ascii="方正仿宋_GBK" w:hAnsi="方正仿宋_GBK" w:eastAsia="方正仿宋_GBK" w:cs="方正仿宋_GBK"/>
          <w:color w:val="000000"/>
          <w:sz w:val="30"/>
          <w:szCs w:val="30"/>
          <w:lang w:eastAsia="zh-CN"/>
        </w:rPr>
        <w:t>交易情况修正系数</w:t>
      </w:r>
      <w:r>
        <w:rPr>
          <w:rFonts w:hint="eastAsia" w:ascii="方正仿宋_GBK" w:hAnsi="方正仿宋_GBK" w:eastAsia="方正仿宋_GBK" w:cs="方正仿宋_GBK"/>
          <w:snapToGrid/>
          <w:color w:val="00000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600" w:lineRule="exact"/>
        <w:ind w:firstLine="1200" w:firstLineChars="400"/>
        <w:textAlignment w:val="auto"/>
        <w:rPr>
          <w:rFonts w:hint="eastAsia" w:ascii="方正仿宋_GBK" w:hAnsi="方正仿宋_GBK" w:eastAsia="方正仿宋_GBK" w:cs="方正仿宋_GBK"/>
          <w:snapToGrid/>
          <w:color w:val="000000"/>
          <w:kern w:val="2"/>
          <w:sz w:val="30"/>
          <w:szCs w:val="30"/>
          <w:lang w:val="en-US" w:eastAsia="zh-CN" w:bidi="ar-SA"/>
        </w:rPr>
      </w:pPr>
      <w:r>
        <w:rPr>
          <w:rFonts w:hint="eastAsia" w:ascii="方正仿宋_GBK" w:hAnsi="方正仿宋_GBK" w:eastAsia="方正仿宋_GBK" w:cs="方正仿宋_GBK"/>
          <w:color w:val="000000"/>
          <w:sz w:val="30"/>
          <w:szCs w:val="30"/>
          <w:lang w:val="en-US" w:eastAsia="zh-CN"/>
        </w:rPr>
        <w:t>K</w:t>
      </w:r>
      <w:r>
        <w:rPr>
          <w:rFonts w:hint="eastAsia" w:ascii="方正仿宋_GBK" w:hAnsi="方正仿宋_GBK" w:eastAsia="方正仿宋_GBK" w:cs="方正仿宋_GBK"/>
          <w:color w:val="000000"/>
          <w:sz w:val="30"/>
          <w:szCs w:val="30"/>
          <w:vertAlign w:val="subscript"/>
          <w:lang w:val="en-US" w:eastAsia="zh-CN"/>
        </w:rPr>
        <w:t>t</w:t>
      </w:r>
      <w:r>
        <w:rPr>
          <w:rFonts w:hint="eastAsia" w:ascii="方正仿宋_GBK" w:hAnsi="方正仿宋_GBK" w:eastAsia="方正仿宋_GBK" w:cs="方正仿宋_GBK"/>
          <w:color w:val="000000"/>
          <w:sz w:val="30"/>
          <w:szCs w:val="30"/>
        </w:rPr>
        <w:t>—</w:t>
      </w:r>
      <w:r>
        <w:rPr>
          <w:rFonts w:hint="eastAsia" w:ascii="方正仿宋_GBK" w:hAnsi="方正仿宋_GBK" w:eastAsia="方正仿宋_GBK" w:cs="方正仿宋_GBK"/>
          <w:color w:val="000000"/>
          <w:sz w:val="30"/>
          <w:szCs w:val="30"/>
          <w:lang w:eastAsia="zh-CN"/>
        </w:rPr>
        <w:t>期日修正系数</w:t>
      </w:r>
      <w:r>
        <w:rPr>
          <w:rFonts w:hint="eastAsia" w:ascii="方正仿宋_GBK" w:hAnsi="方正仿宋_GBK" w:eastAsia="方正仿宋_GBK" w:cs="方正仿宋_GBK"/>
          <w:snapToGrid/>
          <w:color w:val="00000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600" w:lineRule="exact"/>
        <w:ind w:firstLine="1200" w:firstLineChars="400"/>
        <w:textAlignment w:val="auto"/>
        <w:rPr>
          <w:rFonts w:hint="eastAsia" w:ascii="方正仿宋_GBK" w:hAnsi="方正仿宋_GBK" w:eastAsia="方正仿宋_GBK" w:cs="方正仿宋_GBK"/>
          <w:snapToGrid/>
          <w:color w:val="000000"/>
          <w:kern w:val="2"/>
          <w:sz w:val="30"/>
          <w:szCs w:val="30"/>
          <w:lang w:val="en-US" w:eastAsia="zh-CN" w:bidi="ar-SA"/>
        </w:rPr>
      </w:pPr>
      <w:r>
        <w:rPr>
          <w:rFonts w:hint="eastAsia" w:ascii="方正仿宋_GBK" w:hAnsi="方正仿宋_GBK" w:eastAsia="方正仿宋_GBK" w:cs="方正仿宋_GBK"/>
          <w:color w:val="000000"/>
          <w:sz w:val="30"/>
          <w:szCs w:val="30"/>
          <w:lang w:val="en-US" w:eastAsia="zh-CN"/>
        </w:rPr>
        <w:t>K</w:t>
      </w:r>
      <w:r>
        <w:rPr>
          <w:rFonts w:hint="eastAsia" w:ascii="方正仿宋_GBK" w:hAnsi="方正仿宋_GBK" w:eastAsia="方正仿宋_GBK" w:cs="方正仿宋_GBK"/>
          <w:color w:val="000000"/>
          <w:sz w:val="30"/>
          <w:szCs w:val="30"/>
          <w:vertAlign w:val="subscript"/>
          <w:lang w:val="en-US" w:eastAsia="zh-CN"/>
        </w:rPr>
        <w:t>n</w:t>
      </w:r>
      <w:r>
        <w:rPr>
          <w:rFonts w:hint="eastAsia" w:ascii="方正仿宋_GBK" w:hAnsi="方正仿宋_GBK" w:eastAsia="方正仿宋_GBK" w:cs="方正仿宋_GBK"/>
          <w:color w:val="000000"/>
          <w:sz w:val="30"/>
          <w:szCs w:val="30"/>
        </w:rPr>
        <w:t>—</w:t>
      </w:r>
      <w:r>
        <w:rPr>
          <w:rFonts w:hint="eastAsia" w:ascii="方正仿宋_GBK" w:hAnsi="方正仿宋_GBK" w:eastAsia="方正仿宋_GBK" w:cs="方正仿宋_GBK"/>
          <w:color w:val="000000"/>
          <w:sz w:val="30"/>
          <w:szCs w:val="30"/>
          <w:lang w:eastAsia="zh-CN"/>
        </w:rPr>
        <w:t>自然因素修正系数</w:t>
      </w:r>
      <w:r>
        <w:rPr>
          <w:rFonts w:hint="eastAsia" w:ascii="方正仿宋_GBK" w:hAnsi="方正仿宋_GBK" w:eastAsia="方正仿宋_GBK" w:cs="方正仿宋_GBK"/>
          <w:snapToGrid/>
          <w:color w:val="00000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600" w:lineRule="exact"/>
        <w:ind w:firstLine="1200" w:firstLineChars="400"/>
        <w:textAlignment w:val="auto"/>
        <w:rPr>
          <w:rFonts w:hint="eastAsia" w:ascii="方正仿宋_GBK" w:hAnsi="方正仿宋_GBK" w:eastAsia="方正仿宋_GBK" w:cs="方正仿宋_GBK"/>
          <w:snapToGrid/>
          <w:color w:val="000000"/>
          <w:kern w:val="2"/>
          <w:sz w:val="30"/>
          <w:szCs w:val="30"/>
          <w:lang w:val="en-US" w:eastAsia="zh-CN" w:bidi="ar-SA"/>
        </w:rPr>
      </w:pPr>
      <w:r>
        <w:rPr>
          <w:rFonts w:hint="eastAsia" w:ascii="方正仿宋_GBK" w:hAnsi="方正仿宋_GBK" w:eastAsia="方正仿宋_GBK" w:cs="方正仿宋_GBK"/>
          <w:color w:val="000000"/>
          <w:sz w:val="30"/>
          <w:szCs w:val="30"/>
          <w:lang w:val="en-US" w:eastAsia="zh-CN"/>
        </w:rPr>
        <w:t>K</w:t>
      </w:r>
      <w:r>
        <w:rPr>
          <w:rFonts w:hint="eastAsia" w:ascii="方正仿宋_GBK" w:hAnsi="方正仿宋_GBK" w:eastAsia="方正仿宋_GBK" w:cs="方正仿宋_GBK"/>
          <w:color w:val="000000"/>
          <w:sz w:val="30"/>
          <w:szCs w:val="30"/>
          <w:vertAlign w:val="subscript"/>
          <w:lang w:val="en-US" w:eastAsia="zh-CN"/>
        </w:rPr>
        <w:t>e</w:t>
      </w:r>
      <w:r>
        <w:rPr>
          <w:rFonts w:hint="eastAsia" w:ascii="方正仿宋_GBK" w:hAnsi="方正仿宋_GBK" w:eastAsia="方正仿宋_GBK" w:cs="方正仿宋_GBK"/>
          <w:color w:val="000000"/>
          <w:sz w:val="30"/>
          <w:szCs w:val="30"/>
        </w:rPr>
        <w:t>—</w:t>
      </w:r>
      <w:r>
        <w:rPr>
          <w:rFonts w:hint="eastAsia" w:ascii="方正仿宋_GBK" w:hAnsi="方正仿宋_GBK" w:eastAsia="方正仿宋_GBK" w:cs="方正仿宋_GBK"/>
          <w:color w:val="000000"/>
          <w:sz w:val="30"/>
          <w:szCs w:val="30"/>
          <w:lang w:eastAsia="zh-CN"/>
        </w:rPr>
        <w:t>社会经济因素修正系数</w:t>
      </w:r>
      <w:r>
        <w:rPr>
          <w:rFonts w:hint="eastAsia" w:ascii="方正仿宋_GBK" w:hAnsi="方正仿宋_GBK" w:eastAsia="方正仿宋_GBK" w:cs="方正仿宋_GBK"/>
          <w:snapToGrid/>
          <w:color w:val="00000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600" w:lineRule="exact"/>
        <w:ind w:firstLine="1200" w:firstLineChars="400"/>
        <w:textAlignment w:val="auto"/>
        <w:rPr>
          <w:rFonts w:hint="eastAsia" w:ascii="方正仿宋_GBK" w:hAnsi="方正仿宋_GBK" w:eastAsia="方正仿宋_GBK" w:cs="方正仿宋_GBK"/>
          <w:snapToGrid/>
          <w:color w:val="000000"/>
          <w:kern w:val="2"/>
          <w:sz w:val="30"/>
          <w:szCs w:val="30"/>
          <w:lang w:val="en-US" w:eastAsia="zh-CN" w:bidi="ar-SA"/>
        </w:rPr>
      </w:pPr>
      <w:r>
        <w:rPr>
          <w:rFonts w:hint="eastAsia" w:ascii="方正仿宋_GBK" w:hAnsi="方正仿宋_GBK" w:eastAsia="方正仿宋_GBK" w:cs="方正仿宋_GBK"/>
          <w:color w:val="000000"/>
          <w:sz w:val="30"/>
          <w:szCs w:val="30"/>
          <w:lang w:val="en-US" w:eastAsia="zh-CN"/>
        </w:rPr>
        <w:t>K</w:t>
      </w:r>
      <w:r>
        <w:rPr>
          <w:rFonts w:hint="eastAsia" w:ascii="方正仿宋_GBK" w:hAnsi="方正仿宋_GBK" w:eastAsia="方正仿宋_GBK" w:cs="方正仿宋_GBK"/>
          <w:color w:val="000000"/>
          <w:sz w:val="30"/>
          <w:szCs w:val="30"/>
          <w:vertAlign w:val="subscript"/>
          <w:lang w:val="en-US" w:eastAsia="zh-CN"/>
        </w:rPr>
        <w:t>s</w:t>
      </w:r>
      <w:r>
        <w:rPr>
          <w:rFonts w:hint="eastAsia" w:ascii="方正仿宋_GBK" w:hAnsi="方正仿宋_GBK" w:eastAsia="方正仿宋_GBK" w:cs="方正仿宋_GBK"/>
          <w:color w:val="000000"/>
          <w:sz w:val="30"/>
          <w:szCs w:val="30"/>
        </w:rPr>
        <w:t>—</w:t>
      </w:r>
      <w:r>
        <w:rPr>
          <w:rFonts w:hint="eastAsia" w:ascii="方正仿宋_GBK" w:hAnsi="方正仿宋_GBK" w:eastAsia="方正仿宋_GBK" w:cs="方正仿宋_GBK"/>
          <w:color w:val="000000"/>
          <w:sz w:val="30"/>
          <w:szCs w:val="30"/>
          <w:lang w:eastAsia="zh-CN"/>
        </w:rPr>
        <w:t>特殊因素修正系数</w:t>
      </w:r>
      <w:r>
        <w:rPr>
          <w:rFonts w:hint="eastAsia" w:ascii="方正仿宋_GBK" w:hAnsi="方正仿宋_GBK" w:eastAsia="方正仿宋_GBK" w:cs="方正仿宋_GBK"/>
          <w:snapToGrid/>
          <w:color w:val="00000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600" w:lineRule="exact"/>
        <w:ind w:firstLine="1200" w:firstLineChars="400"/>
        <w:textAlignment w:val="auto"/>
        <w:rPr>
          <w:rFonts w:hint="eastAsia" w:ascii="方正仿宋_GBK" w:hAnsi="方正仿宋_GBK" w:eastAsia="方正仿宋_GBK" w:cs="方正仿宋_GBK"/>
          <w:snapToGrid/>
          <w:color w:val="000000"/>
          <w:kern w:val="2"/>
          <w:sz w:val="30"/>
          <w:szCs w:val="30"/>
          <w:lang w:val="en-US" w:eastAsia="zh-CN" w:bidi="ar-SA"/>
        </w:rPr>
      </w:pPr>
      <w:r>
        <w:rPr>
          <w:rFonts w:hint="eastAsia" w:ascii="方正仿宋_GBK" w:hAnsi="方正仿宋_GBK" w:eastAsia="方正仿宋_GBK" w:cs="方正仿宋_GBK"/>
          <w:color w:val="000000"/>
          <w:sz w:val="30"/>
          <w:szCs w:val="30"/>
          <w:lang w:val="en-US" w:eastAsia="zh-CN"/>
        </w:rPr>
        <w:t>K</w:t>
      </w:r>
      <w:r>
        <w:rPr>
          <w:rFonts w:hint="eastAsia" w:ascii="方正仿宋_GBK" w:hAnsi="方正仿宋_GBK" w:eastAsia="方正仿宋_GBK" w:cs="方正仿宋_GBK"/>
          <w:color w:val="000000"/>
          <w:sz w:val="30"/>
          <w:szCs w:val="30"/>
          <w:vertAlign w:val="subscript"/>
          <w:lang w:val="en-US" w:eastAsia="zh-CN"/>
        </w:rPr>
        <w:t>y</w:t>
      </w:r>
      <w:r>
        <w:rPr>
          <w:rFonts w:hint="eastAsia" w:ascii="方正仿宋_GBK" w:hAnsi="方正仿宋_GBK" w:eastAsia="方正仿宋_GBK" w:cs="方正仿宋_GBK"/>
          <w:color w:val="000000"/>
          <w:sz w:val="30"/>
          <w:szCs w:val="30"/>
        </w:rPr>
        <w:t>—</w:t>
      </w:r>
      <w:r>
        <w:rPr>
          <w:rFonts w:hint="eastAsia" w:ascii="方正仿宋_GBK" w:hAnsi="方正仿宋_GBK" w:eastAsia="方正仿宋_GBK" w:cs="方正仿宋_GBK"/>
          <w:color w:val="000000"/>
          <w:sz w:val="30"/>
          <w:szCs w:val="30"/>
          <w:lang w:eastAsia="zh-CN"/>
        </w:rPr>
        <w:t>土地使用年期修正系数</w:t>
      </w:r>
      <w:r>
        <w:rPr>
          <w:rFonts w:hint="eastAsia" w:ascii="方正仿宋_GBK" w:hAnsi="方正仿宋_GBK" w:eastAsia="方正仿宋_GBK" w:cs="方正仿宋_GBK"/>
          <w:snapToGrid/>
          <w:color w:val="000000"/>
          <w:kern w:val="2"/>
          <w:sz w:val="30"/>
          <w:szCs w:val="30"/>
          <w:lang w:val="en-US" w:eastAsia="zh-CN" w:bidi="ar-SA"/>
        </w:rPr>
        <w:t>；</w:t>
      </w:r>
    </w:p>
    <w:p>
      <w:pPr>
        <w:spacing w:line="580" w:lineRule="exact"/>
        <w:ind w:firstLine="600"/>
        <w:rPr>
          <w:rFonts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lang w:val="en-US" w:eastAsia="zh-CN"/>
        </w:rPr>
        <w:t>（2）</w:t>
      </w:r>
      <w:r>
        <w:rPr>
          <w:rFonts w:hint="eastAsia" w:ascii="方正仿宋_GBK" w:hAnsi="方正仿宋_GBK" w:eastAsia="方正仿宋_GBK" w:cs="方正仿宋_GBK"/>
          <w:color w:val="000000"/>
          <w:sz w:val="30"/>
          <w:szCs w:val="30"/>
          <w:lang w:eastAsia="zh-CN"/>
        </w:rPr>
        <w:t>估价</w:t>
      </w:r>
      <w:r>
        <w:rPr>
          <w:rFonts w:hint="eastAsia" w:ascii="方正仿宋_GBK" w:hAnsi="方正仿宋_GBK" w:eastAsia="方正仿宋_GBK" w:cs="方正仿宋_GBK"/>
          <w:color w:val="000000"/>
          <w:sz w:val="30"/>
          <w:szCs w:val="30"/>
        </w:rPr>
        <w:t>步骤</w:t>
      </w:r>
    </w:p>
    <w:p>
      <w:pPr>
        <w:spacing w:line="580" w:lineRule="exact"/>
        <w:ind w:firstLine="600"/>
        <w:rPr>
          <w:rFonts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lang w:val="en-US" w:eastAsia="zh-CN"/>
        </w:rPr>
        <w:t>a</w:t>
      </w:r>
      <w:r>
        <w:rPr>
          <w:rFonts w:hint="eastAsia" w:ascii="方正仿宋_GBK" w:hAnsi="方正仿宋_GBK" w:eastAsia="方正仿宋_GBK" w:cs="方正仿宋_GBK"/>
          <w:color w:val="000000"/>
          <w:sz w:val="30"/>
          <w:szCs w:val="30"/>
        </w:rPr>
        <w:t>）</w:t>
      </w:r>
      <w:r>
        <w:rPr>
          <w:rFonts w:hint="eastAsia" w:ascii="方正仿宋_GBK" w:hAnsi="方正仿宋_GBK" w:eastAsia="方正仿宋_GBK" w:cs="方正仿宋_GBK"/>
          <w:color w:val="000000"/>
          <w:sz w:val="30"/>
          <w:szCs w:val="30"/>
          <w:lang w:eastAsia="zh-CN"/>
        </w:rPr>
        <w:t>收集和选择交易实例；</w:t>
      </w:r>
    </w:p>
    <w:p>
      <w:pPr>
        <w:spacing w:line="580" w:lineRule="exact"/>
        <w:ind w:firstLine="600"/>
        <w:rPr>
          <w:rFonts w:hint="eastAsia" w:ascii="方正仿宋_GBK" w:hAnsi="方正仿宋_GBK" w:eastAsia="方正仿宋_GBK" w:cs="方正仿宋_GBK"/>
          <w:color w:val="000000"/>
          <w:sz w:val="30"/>
          <w:szCs w:val="30"/>
          <w:lang w:val="en-US" w:eastAsia="zh-CN"/>
        </w:rPr>
      </w:pPr>
      <w:r>
        <w:rPr>
          <w:rFonts w:hint="eastAsia" w:ascii="方正仿宋_GBK" w:hAnsi="方正仿宋_GBK" w:eastAsia="方正仿宋_GBK" w:cs="方正仿宋_GBK"/>
          <w:color w:val="000000"/>
          <w:sz w:val="30"/>
          <w:szCs w:val="30"/>
          <w:lang w:val="en-US" w:eastAsia="zh-CN"/>
        </w:rPr>
        <w:t>b</w:t>
      </w:r>
      <w:r>
        <w:rPr>
          <w:rFonts w:hint="eastAsia" w:ascii="方正仿宋_GBK" w:hAnsi="方正仿宋_GBK" w:eastAsia="方正仿宋_GBK" w:cs="方正仿宋_GBK"/>
          <w:color w:val="000000"/>
          <w:sz w:val="30"/>
          <w:szCs w:val="30"/>
        </w:rPr>
        <w:t>）</w:t>
      </w:r>
      <w:r>
        <w:rPr>
          <w:rFonts w:hint="eastAsia" w:ascii="方正仿宋_GBK" w:hAnsi="方正仿宋_GBK" w:eastAsia="方正仿宋_GBK" w:cs="方正仿宋_GBK"/>
          <w:color w:val="000000"/>
          <w:sz w:val="30"/>
          <w:szCs w:val="30"/>
          <w:lang w:eastAsia="zh-CN"/>
        </w:rPr>
        <w:t>建立价格可比基础；</w:t>
      </w:r>
    </w:p>
    <w:p>
      <w:pPr>
        <w:spacing w:line="580" w:lineRule="exact"/>
        <w:ind w:firstLine="600"/>
        <w:rPr>
          <w:rFonts w:hint="eastAsia" w:ascii="方正仿宋_GBK" w:hAnsi="方正仿宋_GBK" w:eastAsia="方正仿宋_GBK" w:cs="方正仿宋_GBK"/>
          <w:color w:val="000000"/>
          <w:sz w:val="30"/>
          <w:szCs w:val="30"/>
          <w:lang w:eastAsia="zh-CN"/>
        </w:rPr>
      </w:pPr>
      <w:r>
        <w:rPr>
          <w:rFonts w:hint="eastAsia" w:ascii="方正仿宋_GBK" w:hAnsi="方正仿宋_GBK" w:eastAsia="方正仿宋_GBK" w:cs="方正仿宋_GBK"/>
          <w:color w:val="000000"/>
          <w:sz w:val="30"/>
          <w:szCs w:val="30"/>
          <w:lang w:val="en-US" w:eastAsia="zh-CN"/>
        </w:rPr>
        <w:t>c</w:t>
      </w:r>
      <w:r>
        <w:rPr>
          <w:rFonts w:hint="eastAsia" w:ascii="方正仿宋_GBK" w:hAnsi="方正仿宋_GBK" w:eastAsia="方正仿宋_GBK" w:cs="方正仿宋_GBK"/>
          <w:color w:val="000000"/>
          <w:sz w:val="30"/>
          <w:szCs w:val="30"/>
        </w:rPr>
        <w:t>）</w:t>
      </w:r>
      <w:r>
        <w:rPr>
          <w:rFonts w:hint="eastAsia" w:ascii="方正仿宋_GBK" w:hAnsi="方正仿宋_GBK" w:eastAsia="方正仿宋_GBK" w:cs="方正仿宋_GBK"/>
          <w:color w:val="000000"/>
          <w:sz w:val="30"/>
          <w:szCs w:val="30"/>
          <w:lang w:eastAsia="zh-CN"/>
        </w:rPr>
        <w:t>进行交易情况修正；</w:t>
      </w:r>
    </w:p>
    <w:p>
      <w:pPr>
        <w:spacing w:line="580" w:lineRule="exact"/>
        <w:ind w:firstLine="600"/>
        <w:rPr>
          <w:rFonts w:hint="eastAsia" w:ascii="方正仿宋_GBK" w:hAnsi="方正仿宋_GBK" w:eastAsia="方正仿宋_GBK" w:cs="方正仿宋_GBK"/>
          <w:color w:val="000000"/>
          <w:sz w:val="30"/>
          <w:szCs w:val="30"/>
          <w:lang w:eastAsia="zh-CN"/>
        </w:rPr>
      </w:pPr>
      <w:r>
        <w:rPr>
          <w:rFonts w:hint="eastAsia" w:ascii="方正仿宋_GBK" w:hAnsi="方正仿宋_GBK" w:eastAsia="方正仿宋_GBK" w:cs="方正仿宋_GBK"/>
          <w:color w:val="000000"/>
          <w:sz w:val="30"/>
          <w:szCs w:val="30"/>
          <w:lang w:val="en-US" w:eastAsia="zh-CN"/>
        </w:rPr>
        <w:t>d</w:t>
      </w:r>
      <w:r>
        <w:rPr>
          <w:rFonts w:hint="eastAsia" w:ascii="方正仿宋_GBK" w:hAnsi="方正仿宋_GBK" w:eastAsia="方正仿宋_GBK" w:cs="方正仿宋_GBK"/>
          <w:color w:val="000000"/>
          <w:sz w:val="30"/>
          <w:szCs w:val="30"/>
        </w:rPr>
        <w:t>）</w:t>
      </w:r>
      <w:r>
        <w:rPr>
          <w:rFonts w:hint="eastAsia" w:ascii="方正仿宋_GBK" w:hAnsi="方正仿宋_GBK" w:eastAsia="方正仿宋_GBK" w:cs="方正仿宋_GBK"/>
          <w:color w:val="000000"/>
          <w:sz w:val="30"/>
          <w:szCs w:val="30"/>
          <w:lang w:eastAsia="zh-CN"/>
        </w:rPr>
        <w:t>进行交易期日修正；</w:t>
      </w:r>
    </w:p>
    <w:p>
      <w:pPr>
        <w:spacing w:line="580" w:lineRule="exact"/>
        <w:ind w:firstLine="600"/>
        <w:rPr>
          <w:rFonts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lang w:val="en-US" w:eastAsia="zh-CN"/>
        </w:rPr>
        <w:t>e</w:t>
      </w:r>
      <w:r>
        <w:rPr>
          <w:rFonts w:hint="eastAsia" w:ascii="方正仿宋_GBK" w:hAnsi="方正仿宋_GBK" w:eastAsia="方正仿宋_GBK" w:cs="方正仿宋_GBK"/>
          <w:color w:val="000000"/>
          <w:sz w:val="30"/>
          <w:szCs w:val="30"/>
        </w:rPr>
        <w:t>）</w:t>
      </w:r>
      <w:r>
        <w:rPr>
          <w:rFonts w:hint="eastAsia" w:ascii="方正仿宋_GBK" w:hAnsi="方正仿宋_GBK" w:eastAsia="方正仿宋_GBK" w:cs="方正仿宋_GBK"/>
          <w:color w:val="000000"/>
          <w:sz w:val="30"/>
          <w:szCs w:val="30"/>
          <w:lang w:eastAsia="zh-CN"/>
        </w:rPr>
        <w:t>进行影响因素修正；</w:t>
      </w:r>
    </w:p>
    <w:p>
      <w:pPr>
        <w:spacing w:line="580" w:lineRule="exact"/>
        <w:ind w:firstLine="600"/>
        <w:rPr>
          <w:rFonts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lang w:val="en-US" w:eastAsia="zh-CN"/>
        </w:rPr>
        <w:t>f</w:t>
      </w:r>
      <w:r>
        <w:rPr>
          <w:rFonts w:hint="eastAsia" w:ascii="方正仿宋_GBK" w:hAnsi="方正仿宋_GBK" w:eastAsia="方正仿宋_GBK" w:cs="方正仿宋_GBK"/>
          <w:color w:val="000000"/>
          <w:sz w:val="30"/>
          <w:szCs w:val="30"/>
        </w:rPr>
        <w:t>）</w:t>
      </w:r>
      <w:r>
        <w:rPr>
          <w:rFonts w:hint="eastAsia" w:ascii="方正仿宋_GBK" w:hAnsi="方正仿宋_GBK" w:eastAsia="方正仿宋_GBK" w:cs="方正仿宋_GBK"/>
          <w:color w:val="000000"/>
          <w:sz w:val="30"/>
          <w:szCs w:val="30"/>
          <w:lang w:eastAsia="zh-CN"/>
        </w:rPr>
        <w:t>进行年期修正；</w:t>
      </w:r>
    </w:p>
    <w:p>
      <w:pPr>
        <w:spacing w:line="580" w:lineRule="exact"/>
        <w:ind w:firstLine="600"/>
        <w:rPr>
          <w:rFonts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lang w:val="en-US" w:eastAsia="zh-CN"/>
        </w:rPr>
        <w:t>g</w:t>
      </w:r>
      <w:r>
        <w:rPr>
          <w:rFonts w:hint="eastAsia" w:ascii="方正仿宋_GBK" w:hAnsi="方正仿宋_GBK" w:eastAsia="方正仿宋_GBK" w:cs="方正仿宋_GBK"/>
          <w:color w:val="000000"/>
          <w:sz w:val="30"/>
          <w:szCs w:val="30"/>
        </w:rPr>
        <w:t>）</w:t>
      </w:r>
      <w:r>
        <w:rPr>
          <w:rFonts w:hint="eastAsia" w:ascii="方正仿宋_GBK" w:hAnsi="方正仿宋_GBK" w:eastAsia="方正仿宋_GBK" w:cs="方正仿宋_GBK"/>
          <w:color w:val="000000"/>
          <w:sz w:val="30"/>
          <w:szCs w:val="30"/>
          <w:lang w:eastAsia="zh-CN"/>
        </w:rPr>
        <w:t>计算基准价格。</w:t>
      </w:r>
    </w:p>
    <w:p>
      <w:pPr>
        <w:spacing w:line="580" w:lineRule="exact"/>
        <w:ind w:firstLine="600"/>
        <w:rPr>
          <w:rFonts w:hint="default" w:ascii="方正仿宋_GBK" w:hAnsi="方正仿宋_GBK" w:eastAsia="方正仿宋_GBK" w:cs="方正仿宋_GBK"/>
          <w:color w:val="000000"/>
          <w:sz w:val="30"/>
          <w:szCs w:val="30"/>
          <w:lang w:val="en-US" w:eastAsia="zh-CN"/>
        </w:rPr>
      </w:pPr>
      <w:r>
        <w:rPr>
          <w:rFonts w:hint="eastAsia" w:ascii="方正仿宋_GBK" w:hAnsi="方正仿宋_GBK" w:eastAsia="方正仿宋_GBK" w:cs="方正仿宋_GBK"/>
          <w:color w:val="000000"/>
          <w:sz w:val="30"/>
          <w:szCs w:val="30"/>
          <w:lang w:val="en-US" w:eastAsia="zh-CN"/>
        </w:rPr>
        <w:t>2.地价折算法</w:t>
      </w:r>
    </w:p>
    <w:p>
      <w:pPr>
        <w:spacing w:line="580" w:lineRule="exact"/>
        <w:ind w:firstLine="600"/>
        <w:rPr>
          <w:rFonts w:hint="eastAsia" w:ascii="方正仿宋_GBK" w:hAnsi="方正仿宋_GBK" w:eastAsia="方正仿宋_GBK" w:cs="方正仿宋_GBK"/>
          <w:color w:val="000000"/>
          <w:sz w:val="30"/>
          <w:szCs w:val="30"/>
          <w:lang w:val="en-US" w:eastAsia="zh-CN"/>
        </w:rPr>
      </w:pPr>
      <w:r>
        <w:rPr>
          <w:rFonts w:hint="eastAsia" w:ascii="方正仿宋_GBK" w:hAnsi="方正仿宋_GBK" w:eastAsia="方正仿宋_GBK" w:cs="方正仿宋_GBK"/>
          <w:color w:val="000000"/>
          <w:sz w:val="30"/>
          <w:szCs w:val="30"/>
          <w:lang w:val="en-US" w:eastAsia="zh-CN"/>
        </w:rPr>
        <w:t>地价折算是通过宗地正常的土地使用权价格标准折算土地租赁费的方法。</w:t>
      </w:r>
    </w:p>
    <w:p>
      <w:pPr>
        <w:spacing w:line="580" w:lineRule="exact"/>
        <w:ind w:firstLine="600"/>
        <w:rPr>
          <w:rFonts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lang w:val="en-US" w:eastAsia="zh-CN"/>
        </w:rPr>
        <w:t>（1）</w:t>
      </w:r>
      <w:r>
        <w:rPr>
          <w:rFonts w:hint="eastAsia" w:ascii="方正仿宋_GBK" w:hAnsi="方正仿宋_GBK" w:eastAsia="方正仿宋_GBK" w:cs="方正仿宋_GBK"/>
          <w:color w:val="000000"/>
          <w:sz w:val="30"/>
          <w:szCs w:val="30"/>
        </w:rPr>
        <w:t>基本公式</w:t>
      </w:r>
    </w:p>
    <w:p>
      <w:pPr>
        <w:spacing w:line="580" w:lineRule="exact"/>
        <w:ind w:firstLine="600"/>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a=P×r÷[1</w:t>
      </w:r>
      <w:r>
        <w:rPr>
          <w:rFonts w:hint="eastAsia" w:ascii="方正仿宋_GBK" w:hAnsi="方正仿宋_GBK" w:eastAsia="方正仿宋_GBK" w:cs="方正仿宋_GBK"/>
          <w:color w:val="000000"/>
          <w:sz w:val="30"/>
          <w:szCs w:val="30"/>
          <w:lang w:eastAsia="zh-CN"/>
        </w:rPr>
        <w:t>-</w:t>
      </w:r>
      <w:r>
        <w:rPr>
          <w:rFonts w:hint="eastAsia" w:ascii="方正仿宋_GBK" w:hAnsi="方正仿宋_GBK" w:eastAsia="方正仿宋_GBK" w:cs="方正仿宋_GBK"/>
          <w:color w:val="000000"/>
          <w:sz w:val="30"/>
          <w:szCs w:val="30"/>
        </w:rPr>
        <w:t>1/</w:t>
      </w:r>
      <w:r>
        <w:rPr>
          <w:rFonts w:hint="eastAsia" w:ascii="方正仿宋_GBK" w:hAnsi="方正仿宋_GBK" w:eastAsia="方正仿宋_GBK" w:cs="方正仿宋_GBK"/>
          <w:color w:val="000000"/>
          <w:sz w:val="30"/>
          <w:szCs w:val="30"/>
          <w:lang w:eastAsia="zh-CN"/>
        </w:rPr>
        <w:t>(</w:t>
      </w:r>
      <w:r>
        <w:rPr>
          <w:rFonts w:hint="eastAsia" w:ascii="方正仿宋_GBK" w:hAnsi="方正仿宋_GBK" w:eastAsia="方正仿宋_GBK" w:cs="方正仿宋_GBK"/>
          <w:color w:val="000000"/>
          <w:sz w:val="30"/>
          <w:szCs w:val="30"/>
        </w:rPr>
        <w:t>1</w:t>
      </w:r>
      <w:r>
        <w:rPr>
          <w:rFonts w:hint="eastAsia" w:ascii="方正仿宋_GBK" w:hAnsi="方正仿宋_GBK" w:eastAsia="方正仿宋_GBK" w:cs="方正仿宋_GBK"/>
          <w:color w:val="000000"/>
          <w:sz w:val="30"/>
          <w:szCs w:val="30"/>
          <w:lang w:eastAsia="zh-CN"/>
        </w:rPr>
        <w:t>+</w:t>
      </w:r>
      <w:r>
        <w:rPr>
          <w:rFonts w:hint="eastAsia" w:ascii="方正仿宋_GBK" w:hAnsi="方正仿宋_GBK" w:eastAsia="方正仿宋_GBK" w:cs="方正仿宋_GBK"/>
          <w:color w:val="000000"/>
          <w:sz w:val="30"/>
          <w:szCs w:val="30"/>
        </w:rPr>
        <w:t>r）</w:t>
      </w:r>
      <w:r>
        <w:rPr>
          <w:rFonts w:hint="eastAsia" w:ascii="方正仿宋_GBK" w:hAnsi="方正仿宋_GBK" w:eastAsia="方正仿宋_GBK" w:cs="方正仿宋_GBK"/>
          <w:color w:val="000000"/>
          <w:sz w:val="30"/>
          <w:szCs w:val="30"/>
          <w:vertAlign w:val="superscript"/>
        </w:rPr>
        <w:t>n</w:t>
      </w:r>
      <w:r>
        <w:rPr>
          <w:rFonts w:hint="eastAsia" w:ascii="方正仿宋_GBK" w:hAnsi="方正仿宋_GBK" w:eastAsia="方正仿宋_GBK" w:cs="方正仿宋_GBK"/>
          <w:color w:val="000000"/>
          <w:sz w:val="30"/>
          <w:szCs w:val="30"/>
        </w:rPr>
        <w:t>]</w:t>
      </w:r>
    </w:p>
    <w:p>
      <w:pPr>
        <w:spacing w:line="580" w:lineRule="exact"/>
        <w:ind w:firstLine="600"/>
        <w:rPr>
          <w:rFonts w:hint="eastAsia" w:ascii="方正仿宋_GBK" w:hAnsi="方正仿宋_GBK" w:eastAsia="方正仿宋_GBK" w:cs="方正仿宋_GBK"/>
          <w:color w:val="000000"/>
          <w:sz w:val="30"/>
          <w:szCs w:val="30"/>
          <w:lang w:eastAsia="zh-CN"/>
        </w:rPr>
      </w:pPr>
      <w:r>
        <w:rPr>
          <w:rFonts w:hint="eastAsia" w:ascii="方正仿宋_GBK" w:hAnsi="方正仿宋_GBK" w:eastAsia="方正仿宋_GBK" w:cs="方正仿宋_GBK"/>
          <w:color w:val="000000"/>
          <w:sz w:val="30"/>
          <w:szCs w:val="30"/>
          <w:lang w:eastAsia="zh-CN"/>
        </w:rPr>
        <w:t>式中：</w:t>
      </w:r>
    </w:p>
    <w:p>
      <w:pPr>
        <w:spacing w:line="580" w:lineRule="exact"/>
        <w:ind w:firstLine="600"/>
        <w:rPr>
          <w:rFonts w:hint="eastAsia" w:ascii="方正仿宋_GBK" w:hAnsi="方正仿宋_GBK" w:eastAsia="方正仿宋_GBK" w:cs="方正仿宋_GBK"/>
          <w:color w:val="000000"/>
          <w:sz w:val="30"/>
          <w:szCs w:val="30"/>
          <w:lang w:val="en-US" w:eastAsia="zh-CN"/>
        </w:rPr>
      </w:pPr>
      <w:r>
        <w:rPr>
          <w:rFonts w:hint="eastAsia" w:ascii="方正仿宋_GBK" w:hAnsi="方正仿宋_GBK" w:eastAsia="方正仿宋_GBK" w:cs="方正仿宋_GBK"/>
          <w:color w:val="000000"/>
          <w:sz w:val="30"/>
          <w:szCs w:val="30"/>
          <w:lang w:val="en-US" w:eastAsia="zh-CN"/>
        </w:rPr>
        <w:t>a</w:t>
      </w:r>
      <w:r>
        <w:rPr>
          <w:rFonts w:hint="eastAsia" w:ascii="方正仿宋_GBK" w:hAnsi="方正仿宋_GBK" w:eastAsia="方正仿宋_GBK" w:cs="方正仿宋_GBK"/>
          <w:color w:val="000000"/>
          <w:sz w:val="30"/>
          <w:szCs w:val="30"/>
        </w:rPr>
        <w:t>—</w:t>
      </w:r>
      <w:r>
        <w:rPr>
          <w:rFonts w:hint="eastAsia" w:ascii="方正仿宋_GBK" w:hAnsi="方正仿宋_GBK" w:eastAsia="方正仿宋_GBK" w:cs="方正仿宋_GBK"/>
          <w:color w:val="000000"/>
          <w:sz w:val="30"/>
          <w:szCs w:val="30"/>
          <w:lang w:eastAsia="zh-CN"/>
        </w:rPr>
        <w:t>年纯收益；</w:t>
      </w:r>
    </w:p>
    <w:p>
      <w:pPr>
        <w:spacing w:line="580" w:lineRule="exact"/>
        <w:ind w:firstLine="600"/>
        <w:rPr>
          <w:rFonts w:hint="eastAsia" w:ascii="方正仿宋_GBK" w:hAnsi="方正仿宋_GBK" w:eastAsia="方正仿宋_GBK" w:cs="方正仿宋_GBK"/>
          <w:color w:val="000000"/>
          <w:sz w:val="30"/>
          <w:szCs w:val="30"/>
          <w:lang w:eastAsia="zh-CN"/>
        </w:rPr>
      </w:pPr>
      <w:r>
        <w:rPr>
          <w:rFonts w:hint="eastAsia" w:ascii="方正仿宋_GBK" w:hAnsi="方正仿宋_GBK" w:eastAsia="方正仿宋_GBK" w:cs="方正仿宋_GBK"/>
          <w:color w:val="000000"/>
          <w:sz w:val="30"/>
          <w:szCs w:val="30"/>
        </w:rPr>
        <w:t>P—</w:t>
      </w:r>
      <w:r>
        <w:rPr>
          <w:rFonts w:hint="eastAsia" w:ascii="方正仿宋_GBK" w:hAnsi="方正仿宋_GBK" w:eastAsia="方正仿宋_GBK" w:cs="方正仿宋_GBK"/>
          <w:color w:val="000000"/>
          <w:sz w:val="30"/>
          <w:szCs w:val="30"/>
          <w:lang w:eastAsia="zh-CN"/>
        </w:rPr>
        <w:t>设定</w:t>
      </w:r>
      <w:r>
        <w:rPr>
          <w:rFonts w:hint="eastAsia" w:ascii="方正仿宋_GBK" w:hAnsi="方正仿宋_GBK" w:eastAsia="方正仿宋_GBK" w:cs="方正仿宋_GBK"/>
          <w:color w:val="000000"/>
          <w:sz w:val="30"/>
          <w:szCs w:val="30"/>
        </w:rPr>
        <w:t>年期地价</w:t>
      </w:r>
      <w:r>
        <w:rPr>
          <w:rFonts w:hint="eastAsia" w:ascii="方正仿宋_GBK" w:hAnsi="方正仿宋_GBK" w:eastAsia="方正仿宋_GBK" w:cs="方正仿宋_GBK"/>
          <w:color w:val="000000"/>
          <w:sz w:val="30"/>
          <w:szCs w:val="30"/>
          <w:lang w:eastAsia="zh-CN"/>
        </w:rPr>
        <w:t>；</w:t>
      </w:r>
    </w:p>
    <w:p>
      <w:pPr>
        <w:spacing w:line="580" w:lineRule="exact"/>
        <w:ind w:firstLine="600"/>
        <w:rPr>
          <w:rFonts w:hint="eastAsia" w:ascii="方正仿宋_GBK" w:hAnsi="方正仿宋_GBK" w:eastAsia="方正仿宋_GBK" w:cs="方正仿宋_GBK"/>
          <w:color w:val="000000"/>
          <w:sz w:val="30"/>
          <w:szCs w:val="30"/>
          <w:lang w:eastAsia="zh-CN"/>
        </w:rPr>
      </w:pPr>
      <w:r>
        <w:rPr>
          <w:rFonts w:hint="eastAsia" w:ascii="方正仿宋_GBK" w:hAnsi="方正仿宋_GBK" w:eastAsia="方正仿宋_GBK" w:cs="方正仿宋_GBK"/>
          <w:color w:val="000000"/>
          <w:sz w:val="30"/>
          <w:szCs w:val="30"/>
        </w:rPr>
        <w:t>r—土地还原率</w:t>
      </w:r>
      <w:r>
        <w:rPr>
          <w:rFonts w:hint="eastAsia" w:ascii="方正仿宋_GBK" w:hAnsi="方正仿宋_GBK" w:eastAsia="方正仿宋_GBK" w:cs="方正仿宋_GBK"/>
          <w:color w:val="000000"/>
          <w:sz w:val="30"/>
          <w:szCs w:val="30"/>
          <w:lang w:eastAsia="zh-CN"/>
        </w:rPr>
        <w:t>；</w:t>
      </w:r>
    </w:p>
    <w:p>
      <w:pPr>
        <w:spacing w:line="580" w:lineRule="exact"/>
        <w:ind w:firstLine="600"/>
        <w:rPr>
          <w:rFonts w:hint="eastAsia" w:ascii="方正仿宋_GBK" w:hAnsi="方正仿宋_GBK" w:eastAsia="方正仿宋_GBK" w:cs="方正仿宋_GBK"/>
          <w:color w:val="000000"/>
          <w:sz w:val="30"/>
          <w:szCs w:val="30"/>
          <w:lang w:val="pt-BR" w:eastAsia="zh-CN"/>
        </w:rPr>
      </w:pPr>
      <w:r>
        <w:rPr>
          <w:rFonts w:hint="eastAsia" w:ascii="方正仿宋_GBK" w:hAnsi="方正仿宋_GBK" w:eastAsia="方正仿宋_GBK" w:cs="方正仿宋_GBK"/>
          <w:color w:val="000000"/>
          <w:sz w:val="30"/>
          <w:szCs w:val="30"/>
          <w:lang w:val="pt-BR"/>
        </w:rPr>
        <w:t>n—</w:t>
      </w:r>
      <w:r>
        <w:rPr>
          <w:rFonts w:hint="eastAsia" w:ascii="方正仿宋_GBK" w:hAnsi="方正仿宋_GBK" w:eastAsia="方正仿宋_GBK" w:cs="方正仿宋_GBK"/>
          <w:color w:val="000000"/>
          <w:sz w:val="30"/>
          <w:szCs w:val="30"/>
        </w:rPr>
        <w:t>设定</w:t>
      </w:r>
      <w:r>
        <w:rPr>
          <w:rFonts w:hint="eastAsia" w:ascii="方正仿宋_GBK" w:hAnsi="方正仿宋_GBK" w:eastAsia="方正仿宋_GBK" w:cs="方正仿宋_GBK"/>
          <w:color w:val="000000"/>
          <w:sz w:val="30"/>
          <w:szCs w:val="30"/>
          <w:lang w:eastAsia="zh-CN"/>
        </w:rPr>
        <w:t>土地使用</w:t>
      </w:r>
      <w:r>
        <w:rPr>
          <w:rFonts w:hint="eastAsia" w:ascii="方正仿宋_GBK" w:hAnsi="方正仿宋_GBK" w:eastAsia="方正仿宋_GBK" w:cs="方正仿宋_GBK"/>
          <w:color w:val="000000"/>
          <w:sz w:val="30"/>
          <w:szCs w:val="30"/>
        </w:rPr>
        <w:t>年期</w:t>
      </w:r>
      <w:r>
        <w:rPr>
          <w:rFonts w:hint="eastAsia" w:ascii="方正仿宋_GBK" w:hAnsi="方正仿宋_GBK" w:eastAsia="方正仿宋_GBK" w:cs="方正仿宋_GBK"/>
          <w:color w:val="000000"/>
          <w:sz w:val="30"/>
          <w:szCs w:val="30"/>
          <w:lang w:eastAsia="zh-CN"/>
        </w:rPr>
        <w:t>。</w:t>
      </w:r>
    </w:p>
    <w:p>
      <w:pPr>
        <w:spacing w:line="580" w:lineRule="exact"/>
        <w:ind w:firstLine="300" w:firstLineChars="100"/>
        <w:rPr>
          <w:rFonts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lang w:val="en-US" w:eastAsia="zh-CN"/>
        </w:rPr>
        <w:t>（2）估价</w:t>
      </w:r>
      <w:r>
        <w:rPr>
          <w:rFonts w:hint="eastAsia" w:ascii="方正仿宋_GBK" w:hAnsi="方正仿宋_GBK" w:eastAsia="方正仿宋_GBK" w:cs="方正仿宋_GBK"/>
          <w:color w:val="000000"/>
          <w:sz w:val="30"/>
          <w:szCs w:val="30"/>
        </w:rPr>
        <w:t>步骤</w:t>
      </w:r>
    </w:p>
    <w:p>
      <w:pPr>
        <w:spacing w:line="580" w:lineRule="exact"/>
        <w:ind w:firstLine="600"/>
        <w:rPr>
          <w:rFonts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lang w:val="en-US" w:eastAsia="zh-CN"/>
        </w:rPr>
        <w:t>a</w:t>
      </w:r>
      <w:r>
        <w:rPr>
          <w:rFonts w:hint="eastAsia" w:ascii="方正仿宋_GBK" w:hAnsi="方正仿宋_GBK" w:eastAsia="方正仿宋_GBK" w:cs="方正仿宋_GBK"/>
          <w:color w:val="000000"/>
          <w:sz w:val="30"/>
          <w:szCs w:val="30"/>
        </w:rPr>
        <w:t>）根据测算基准日</w:t>
      </w:r>
      <w:r>
        <w:rPr>
          <w:rFonts w:hint="eastAsia" w:ascii="方正仿宋_GBK" w:hAnsi="方正仿宋_GBK" w:eastAsia="方正仿宋_GBK" w:cs="方正仿宋_GBK"/>
          <w:color w:val="000000"/>
          <w:sz w:val="30"/>
          <w:szCs w:val="30"/>
          <w:lang w:eastAsia="zh-CN"/>
        </w:rPr>
        <w:t>收集的资料确定地价</w:t>
      </w:r>
      <w:r>
        <w:rPr>
          <w:rFonts w:hint="eastAsia" w:ascii="方正仿宋_GBK" w:hAnsi="方正仿宋_GBK" w:eastAsia="方正仿宋_GBK" w:cs="方正仿宋_GBK"/>
          <w:color w:val="000000"/>
          <w:sz w:val="30"/>
          <w:szCs w:val="30"/>
        </w:rPr>
        <w:t>。</w:t>
      </w:r>
    </w:p>
    <w:p>
      <w:pPr>
        <w:spacing w:line="580" w:lineRule="exact"/>
        <w:ind w:firstLine="600"/>
        <w:rPr>
          <w:rFonts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lang w:val="en-US" w:eastAsia="zh-CN"/>
        </w:rPr>
        <w:t>b</w:t>
      </w:r>
      <w:r>
        <w:rPr>
          <w:rFonts w:hint="eastAsia" w:ascii="方正仿宋_GBK" w:hAnsi="方正仿宋_GBK" w:eastAsia="方正仿宋_GBK" w:cs="方正仿宋_GBK"/>
          <w:color w:val="000000"/>
          <w:sz w:val="30"/>
          <w:szCs w:val="30"/>
        </w:rPr>
        <w:t>）确定还原率。</w:t>
      </w:r>
    </w:p>
    <w:p>
      <w:pPr>
        <w:spacing w:line="580" w:lineRule="exact"/>
        <w:ind w:firstLine="600"/>
        <w:rPr>
          <w:rFonts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lang w:val="en-US" w:eastAsia="zh-CN"/>
        </w:rPr>
        <w:t>c</w:t>
      </w:r>
      <w:r>
        <w:rPr>
          <w:rFonts w:hint="eastAsia" w:ascii="方正仿宋_GBK" w:hAnsi="方正仿宋_GBK" w:eastAsia="方正仿宋_GBK" w:cs="方正仿宋_GBK"/>
          <w:color w:val="000000"/>
          <w:sz w:val="30"/>
          <w:szCs w:val="30"/>
        </w:rPr>
        <w:t>）</w:t>
      </w:r>
      <w:r>
        <w:rPr>
          <w:rFonts w:hint="eastAsia" w:ascii="方正仿宋_GBK" w:hAnsi="方正仿宋_GBK" w:eastAsia="方正仿宋_GBK" w:cs="方正仿宋_GBK"/>
          <w:color w:val="000000"/>
          <w:sz w:val="30"/>
          <w:szCs w:val="30"/>
          <w:lang w:eastAsia="zh-CN"/>
        </w:rPr>
        <w:t>根据地价内涵的年期确定土地使用年期</w:t>
      </w:r>
      <w:r>
        <w:rPr>
          <w:rFonts w:hint="eastAsia" w:ascii="方正仿宋_GBK" w:hAnsi="方正仿宋_GBK" w:eastAsia="方正仿宋_GBK" w:cs="方正仿宋_GBK"/>
          <w:color w:val="000000"/>
          <w:sz w:val="30"/>
          <w:szCs w:val="30"/>
        </w:rPr>
        <w:t>。</w:t>
      </w:r>
    </w:p>
    <w:p>
      <w:pPr>
        <w:spacing w:line="580" w:lineRule="exact"/>
        <w:ind w:firstLine="600"/>
        <w:rPr>
          <w:rFonts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lang w:val="en-US" w:eastAsia="zh-CN"/>
        </w:rPr>
        <w:t>d</w:t>
      </w:r>
      <w:r>
        <w:rPr>
          <w:rFonts w:hint="eastAsia" w:ascii="方正仿宋_GBK" w:hAnsi="方正仿宋_GBK" w:eastAsia="方正仿宋_GBK" w:cs="方正仿宋_GBK"/>
          <w:color w:val="000000"/>
          <w:sz w:val="30"/>
          <w:szCs w:val="30"/>
        </w:rPr>
        <w:t>）</w:t>
      </w:r>
      <w:r>
        <w:rPr>
          <w:rFonts w:hint="eastAsia" w:ascii="方正仿宋_GBK" w:hAnsi="方正仿宋_GBK" w:eastAsia="方正仿宋_GBK" w:cs="方正仿宋_GBK"/>
          <w:color w:val="000000"/>
          <w:sz w:val="30"/>
          <w:szCs w:val="30"/>
          <w:lang w:eastAsia="zh-CN"/>
        </w:rPr>
        <w:t>新能源项目用地租赁费的</w:t>
      </w:r>
      <w:r>
        <w:rPr>
          <w:rFonts w:hint="eastAsia" w:ascii="方正仿宋_GBK" w:hAnsi="方正仿宋_GBK" w:eastAsia="方正仿宋_GBK" w:cs="方正仿宋_GBK"/>
          <w:color w:val="000000"/>
          <w:sz w:val="30"/>
          <w:szCs w:val="30"/>
        </w:rPr>
        <w:t>测算：根据</w:t>
      </w:r>
      <w:r>
        <w:rPr>
          <w:rFonts w:hint="eastAsia" w:ascii="方正仿宋_GBK" w:hAnsi="方正仿宋_GBK" w:eastAsia="方正仿宋_GBK" w:cs="方正仿宋_GBK"/>
          <w:color w:val="000000"/>
          <w:sz w:val="30"/>
          <w:szCs w:val="30"/>
          <w:lang w:eastAsia="zh-CN"/>
        </w:rPr>
        <w:t>地价折算</w:t>
      </w:r>
      <w:r>
        <w:rPr>
          <w:rFonts w:hint="eastAsia" w:ascii="方正仿宋_GBK" w:hAnsi="方正仿宋_GBK" w:eastAsia="方正仿宋_GBK" w:cs="方正仿宋_GBK"/>
          <w:color w:val="000000"/>
          <w:sz w:val="30"/>
          <w:szCs w:val="30"/>
        </w:rPr>
        <w:t>法公式测算</w:t>
      </w:r>
      <w:r>
        <w:rPr>
          <w:rFonts w:hint="eastAsia" w:ascii="方正仿宋_GBK" w:hAnsi="方正仿宋_GBK" w:eastAsia="方正仿宋_GBK" w:cs="方正仿宋_GBK"/>
          <w:color w:val="000000"/>
          <w:sz w:val="30"/>
          <w:szCs w:val="30"/>
          <w:lang w:eastAsia="zh-CN"/>
        </w:rPr>
        <w:t>租赁费</w:t>
      </w:r>
      <w:r>
        <w:rPr>
          <w:rFonts w:hint="eastAsia" w:ascii="方正仿宋_GBK" w:hAnsi="方正仿宋_GBK" w:eastAsia="方正仿宋_GBK" w:cs="方正仿宋_GBK"/>
          <w:color w:val="000000"/>
          <w:sz w:val="30"/>
          <w:szCs w:val="30"/>
        </w:rPr>
        <w:t>。</w:t>
      </w:r>
    </w:p>
    <w:p>
      <w:pPr>
        <w:pStyle w:val="3"/>
        <w:bidi w:val="0"/>
        <w:rPr>
          <w:rFonts w:hint="default"/>
          <w:lang w:val="en-US" w:eastAsia="zh-CN"/>
        </w:rPr>
      </w:pPr>
      <w:bookmarkStart w:id="15" w:name="_Toc11393"/>
      <w:r>
        <w:rPr>
          <w:rFonts w:hint="eastAsia"/>
          <w:lang w:val="en-US" w:eastAsia="zh-CN"/>
        </w:rPr>
        <w:t>三、测算结果</w:t>
      </w:r>
      <w:bookmarkEnd w:id="15"/>
    </w:p>
    <w:p>
      <w:pPr>
        <w:pStyle w:val="2"/>
        <w:keepNext w:val="0"/>
        <w:keepLines w:val="0"/>
        <w:pageBreakBefore w:val="0"/>
        <w:widowControl w:val="0"/>
        <w:kinsoku/>
        <w:wordWrap/>
        <w:overflowPunct/>
        <w:topLinePunct w:val="0"/>
        <w:autoSpaceDE/>
        <w:autoSpaceDN/>
        <w:bidi w:val="0"/>
        <w:adjustRightInd/>
        <w:snapToGrid/>
        <w:spacing w:before="0" w:beforeLines="0"/>
        <w:ind w:left="0" w:leftChars="0" w:right="210"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采用市场比较法测算结果为</w:t>
      </w:r>
      <w:r>
        <w:rPr>
          <w:rFonts w:hint="eastAsia" w:ascii="方正仿宋_GBK" w:hAnsi="方正仿宋_GBK" w:eastAsia="方正仿宋_GBK" w:cs="方正仿宋_GBK"/>
          <w:color w:val="000000"/>
          <w:sz w:val="32"/>
          <w:szCs w:val="32"/>
          <w:lang w:val="en-US" w:eastAsia="zh-CN"/>
        </w:rPr>
        <w:t>654.0</w:t>
      </w:r>
      <w:r>
        <w:rPr>
          <w:rFonts w:hint="eastAsia" w:ascii="方正仿宋_GBK" w:hAnsi="方正仿宋_GBK" w:eastAsia="方正仿宋_GBK" w:cs="方正仿宋_GBK"/>
          <w:color w:val="000000"/>
          <w:kern w:val="2"/>
          <w:sz w:val="32"/>
          <w:szCs w:val="32"/>
          <w:lang w:val="en-US" w:eastAsia="zh-CN" w:bidi="ar-SA"/>
        </w:rPr>
        <w:t>元/亩</w:t>
      </w:r>
      <w:r>
        <w:rPr>
          <w:rFonts w:hint="eastAsia" w:ascii="仿宋" w:hAnsi="仿宋" w:eastAsia="仿宋"/>
          <w:b/>
          <w:bCs/>
          <w:sz w:val="32"/>
          <w:szCs w:val="32"/>
        </w:rPr>
        <w:t>·</w:t>
      </w:r>
      <w:r>
        <w:rPr>
          <w:rFonts w:hint="eastAsia" w:ascii="方正仿宋_GBK" w:hAnsi="方正仿宋_GBK" w:eastAsia="方正仿宋_GBK" w:cs="方正仿宋_GBK"/>
          <w:color w:val="000000"/>
          <w:sz w:val="32"/>
          <w:szCs w:val="32"/>
          <w:lang w:val="en-US" w:eastAsia="zh-CN"/>
        </w:rPr>
        <w:t>年；</w:t>
      </w:r>
    </w:p>
    <w:p>
      <w:pPr>
        <w:pStyle w:val="2"/>
        <w:keepNext w:val="0"/>
        <w:keepLines w:val="0"/>
        <w:pageBreakBefore w:val="0"/>
        <w:widowControl w:val="0"/>
        <w:kinsoku/>
        <w:wordWrap/>
        <w:overflowPunct/>
        <w:topLinePunct w:val="0"/>
        <w:autoSpaceDE/>
        <w:autoSpaceDN/>
        <w:bidi w:val="0"/>
        <w:adjustRightInd/>
        <w:snapToGrid/>
        <w:spacing w:before="0" w:beforeLines="0"/>
        <w:ind w:left="0" w:leftChars="0" w:right="210"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采用地价折算法测算结果为</w:t>
      </w:r>
      <w:r>
        <w:rPr>
          <w:rFonts w:hint="eastAsia" w:ascii="方正仿宋_GBK" w:hAnsi="方正仿宋_GBK" w:eastAsia="方正仿宋_GBK" w:cs="方正仿宋_GBK"/>
          <w:color w:val="000000"/>
          <w:sz w:val="32"/>
          <w:szCs w:val="32"/>
          <w:lang w:val="en-US" w:eastAsia="zh-CN"/>
        </w:rPr>
        <w:t>646.0</w:t>
      </w:r>
      <w:r>
        <w:rPr>
          <w:rFonts w:hint="eastAsia" w:ascii="方正仿宋_GBK" w:hAnsi="方正仿宋_GBK" w:eastAsia="方正仿宋_GBK" w:cs="方正仿宋_GBK"/>
          <w:color w:val="000000"/>
          <w:kern w:val="2"/>
          <w:sz w:val="32"/>
          <w:szCs w:val="32"/>
          <w:lang w:val="en-US" w:eastAsia="zh-CN" w:bidi="ar-SA"/>
        </w:rPr>
        <w:t>元/亩</w:t>
      </w:r>
      <w:r>
        <w:rPr>
          <w:rFonts w:hint="eastAsia" w:ascii="仿宋" w:hAnsi="仿宋" w:eastAsia="仿宋"/>
          <w:b/>
          <w:bCs/>
          <w:sz w:val="32"/>
          <w:szCs w:val="32"/>
        </w:rPr>
        <w:t>·</w:t>
      </w:r>
      <w:r>
        <w:rPr>
          <w:rFonts w:hint="eastAsia" w:ascii="方正仿宋_GBK" w:hAnsi="方正仿宋_GBK" w:eastAsia="方正仿宋_GBK" w:cs="方正仿宋_GBK"/>
          <w:color w:val="000000"/>
          <w:sz w:val="32"/>
          <w:szCs w:val="32"/>
          <w:lang w:val="en-US" w:eastAsia="zh-CN"/>
        </w:rPr>
        <w:t>年。</w:t>
      </w:r>
    </w:p>
    <w:p>
      <w:pPr>
        <w:pStyle w:val="2"/>
        <w:keepNext w:val="0"/>
        <w:keepLines w:val="0"/>
        <w:pageBreakBefore w:val="0"/>
        <w:widowControl w:val="0"/>
        <w:kinsoku/>
        <w:wordWrap/>
        <w:overflowPunct/>
        <w:topLinePunct w:val="0"/>
        <w:autoSpaceDE/>
        <w:autoSpaceDN/>
        <w:bidi w:val="0"/>
        <w:adjustRightInd/>
        <w:snapToGrid/>
        <w:spacing w:before="0" w:beforeLines="0"/>
        <w:ind w:left="0" w:leftChars="0" w:right="210" w:firstLine="640"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sz w:val="32"/>
          <w:szCs w:val="32"/>
        </w:rPr>
        <w:t>本次选取的两种评估方法的评估结果差幅较大，在认真分析现有资料的基础上，结合对影响价格的因素综合分析，采用</w:t>
      </w:r>
      <w:bookmarkStart w:id="27" w:name="_GoBack"/>
      <w:bookmarkEnd w:id="27"/>
      <w:r>
        <w:rPr>
          <w:rFonts w:hint="eastAsia" w:ascii="方正仿宋_GBK" w:hAnsi="方正仿宋_GBK" w:eastAsia="方正仿宋_GBK" w:cs="方正仿宋_GBK"/>
          <w:color w:val="000000"/>
          <w:sz w:val="32"/>
          <w:szCs w:val="32"/>
          <w:lang w:eastAsia="zh-CN"/>
        </w:rPr>
        <w:t>两种方</w:t>
      </w:r>
      <w:r>
        <w:rPr>
          <w:rFonts w:hint="eastAsia" w:ascii="方正仿宋_GBK" w:hAnsi="方正仿宋_GBK" w:eastAsia="方正仿宋_GBK" w:cs="方正仿宋_GBK"/>
          <w:color w:val="000000"/>
          <w:sz w:val="32"/>
          <w:szCs w:val="32"/>
        </w:rPr>
        <w:t>法结果的算术平均值</w:t>
      </w:r>
      <w:r>
        <w:rPr>
          <w:rFonts w:hint="eastAsia" w:ascii="方正仿宋_GBK" w:hAnsi="方正仿宋_GBK" w:eastAsia="方正仿宋_GBK" w:cs="方正仿宋_GBK"/>
          <w:color w:val="000000"/>
          <w:sz w:val="32"/>
          <w:szCs w:val="32"/>
          <w:lang w:eastAsia="zh-CN"/>
        </w:rPr>
        <w:t>作为最终结果，</w:t>
      </w:r>
      <w:r>
        <w:rPr>
          <w:rFonts w:hint="eastAsia" w:ascii="方正仿宋_GBK" w:hAnsi="方正仿宋_GBK" w:eastAsia="方正仿宋_GBK" w:cs="方正仿宋_GBK"/>
          <w:color w:val="000000"/>
          <w:kern w:val="2"/>
          <w:sz w:val="32"/>
          <w:szCs w:val="32"/>
          <w:lang w:val="en-US" w:eastAsia="zh-CN" w:bidi="ar-SA"/>
        </w:rPr>
        <w:t>租赁费=（654.0+646.0）÷2=650.0元/亩</w:t>
      </w:r>
      <w:r>
        <w:rPr>
          <w:rFonts w:hint="eastAsia" w:ascii="仿宋" w:hAnsi="仿宋" w:eastAsia="仿宋"/>
          <w:b/>
          <w:bCs/>
          <w:sz w:val="32"/>
          <w:szCs w:val="32"/>
        </w:rPr>
        <w:t>·</w:t>
      </w:r>
      <w:r>
        <w:rPr>
          <w:rFonts w:hint="eastAsia" w:ascii="方正仿宋_GBK" w:hAnsi="方正仿宋_GBK" w:eastAsia="方正仿宋_GBK" w:cs="方正仿宋_GBK"/>
          <w:color w:val="000000"/>
          <w:sz w:val="32"/>
          <w:szCs w:val="32"/>
          <w:lang w:val="en-US" w:eastAsia="zh-CN"/>
        </w:rPr>
        <w:t>年</w:t>
      </w:r>
      <w:r>
        <w:rPr>
          <w:rFonts w:hint="eastAsia" w:ascii="方正仿宋_GBK" w:hAnsi="方正仿宋_GBK" w:eastAsia="方正仿宋_GBK" w:cs="方正仿宋_GBK"/>
          <w:color w:val="000000"/>
          <w:sz w:val="32"/>
          <w:szCs w:val="32"/>
        </w:rPr>
        <w:t>。</w:t>
      </w:r>
    </w:p>
    <w:p>
      <w:pPr>
        <w:pStyle w:val="2"/>
        <w:keepNext w:val="0"/>
        <w:keepLines w:val="0"/>
        <w:pageBreakBefore w:val="0"/>
        <w:widowControl w:val="0"/>
        <w:kinsoku/>
        <w:wordWrap/>
        <w:overflowPunct/>
        <w:topLinePunct w:val="0"/>
        <w:autoSpaceDE/>
        <w:autoSpaceDN/>
        <w:bidi w:val="0"/>
        <w:adjustRightInd/>
        <w:snapToGrid/>
        <w:spacing w:before="0" w:beforeLines="0"/>
        <w:ind w:left="210" w:right="210" w:firstLine="601"/>
        <w:textAlignment w:val="auto"/>
        <w:rPr>
          <w:rFonts w:hint="eastAsia" w:ascii="方正仿宋_GBK" w:hAnsi="方正仿宋_GBK" w:eastAsia="方正仿宋_GBK" w:cs="方正仿宋_GBK"/>
          <w:color w:val="000000"/>
          <w:kern w:val="2"/>
          <w:sz w:val="32"/>
          <w:szCs w:val="32"/>
          <w:lang w:val="en" w:eastAsia="zh-CN" w:bidi="ar-SA"/>
        </w:rPr>
      </w:pPr>
      <w:r>
        <w:rPr>
          <w:rFonts w:hint="eastAsia" w:ascii="方正仿宋_GBK" w:hAnsi="方正仿宋_GBK" w:eastAsia="方正仿宋_GBK" w:cs="方正仿宋_GBK"/>
          <w:color w:val="000000"/>
          <w:kern w:val="2"/>
          <w:sz w:val="32"/>
          <w:szCs w:val="32"/>
          <w:lang w:val="en-US" w:eastAsia="zh-CN" w:bidi="ar-SA"/>
        </w:rPr>
        <w:t>根据以上测算结果，考虑新能源项目用地不改变原土地类型、不转用为建设用地，新能源项目用地租赁费确定为每年650.0元/亩。</w:t>
      </w:r>
    </w:p>
    <w:p>
      <w:pPr>
        <w:pStyle w:val="3"/>
        <w:bidi w:val="0"/>
        <w:rPr>
          <w:rFonts w:hint="default"/>
          <w:lang w:val="en-US" w:eastAsia="zh-CN"/>
        </w:rPr>
      </w:pPr>
      <w:bookmarkStart w:id="16" w:name="_Toc20032"/>
      <w:r>
        <w:rPr>
          <w:rFonts w:hint="eastAsia"/>
          <w:lang w:val="en-US" w:eastAsia="zh-CN"/>
        </w:rPr>
        <w:t>四、成果分析</w:t>
      </w:r>
      <w:bookmarkEnd w:id="16"/>
    </w:p>
    <w:p>
      <w:pPr>
        <w:pStyle w:val="4"/>
        <w:bidi w:val="0"/>
        <w:rPr>
          <w:rFonts w:hint="eastAsia"/>
          <w:lang w:val="en-US" w:eastAsia="zh-CN"/>
        </w:rPr>
      </w:pPr>
      <w:bookmarkStart w:id="17" w:name="_Toc17705"/>
      <w:bookmarkStart w:id="18" w:name="_Toc21889"/>
      <w:r>
        <w:rPr>
          <w:rFonts w:hint="eastAsia"/>
          <w:lang w:val="en-US" w:eastAsia="zh-CN"/>
        </w:rPr>
        <w:t>（一）与现行新能源项目用地租赁费比较</w:t>
      </w:r>
      <w:bookmarkEnd w:id="17"/>
      <w:bookmarkEnd w:id="18"/>
    </w:p>
    <w:p>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利通区目前尚未发布</w:t>
      </w:r>
      <w:r>
        <w:rPr>
          <w:rFonts w:hint="eastAsia" w:ascii="方正仿宋_GBK" w:hAnsi="方正仿宋_GBK" w:eastAsia="方正仿宋_GBK" w:cs="方正仿宋_GBK"/>
          <w:color w:val="000000"/>
          <w:sz w:val="30"/>
          <w:szCs w:val="30"/>
          <w:lang w:eastAsia="zh-CN"/>
        </w:rPr>
        <w:t>新能源项目用地租赁费标准，</w:t>
      </w:r>
      <w:r>
        <w:rPr>
          <w:rFonts w:hint="eastAsia" w:ascii="方正仿宋_GBK" w:hAnsi="方正仿宋_GBK" w:eastAsia="方正仿宋_GBK" w:cs="方正仿宋_GBK"/>
          <w:color w:val="000000"/>
          <w:sz w:val="32"/>
          <w:szCs w:val="32"/>
          <w:lang w:eastAsia="zh-CN"/>
        </w:rPr>
        <w:t>经调查近年来</w:t>
      </w:r>
      <w:r>
        <w:rPr>
          <w:rFonts w:hint="eastAsia" w:ascii="方正仿宋_GBK" w:hAnsi="方正仿宋_GBK" w:eastAsia="方正仿宋_GBK" w:cs="方正仿宋_GBK"/>
          <w:color w:val="000000"/>
          <w:sz w:val="30"/>
          <w:szCs w:val="30"/>
          <w:lang w:eastAsia="zh-CN"/>
        </w:rPr>
        <w:t>新能源项目用地租赁的占用天然牧草地的标准为</w:t>
      </w:r>
      <w:r>
        <w:rPr>
          <w:rFonts w:hint="eastAsia" w:ascii="方正仿宋_GBK" w:hAnsi="方正仿宋_GBK" w:eastAsia="方正仿宋_GBK" w:cs="方正仿宋_GBK"/>
          <w:color w:val="000000"/>
          <w:sz w:val="30"/>
          <w:szCs w:val="30"/>
          <w:lang w:val="en-US" w:eastAsia="zh-CN"/>
        </w:rPr>
        <w:t>每年220.0元/亩</w:t>
      </w:r>
      <w:r>
        <w:rPr>
          <w:rFonts w:hint="eastAsia" w:ascii="方正仿宋_GBK" w:hAnsi="方正仿宋_GBK" w:eastAsia="方正仿宋_GBK" w:cs="方正仿宋_GBK"/>
          <w:color w:val="000000"/>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通过比较，本轮</w:t>
      </w:r>
      <w:r>
        <w:rPr>
          <w:rFonts w:hint="eastAsia" w:ascii="方正仿宋_GBK" w:hAnsi="方正仿宋_GBK" w:eastAsia="方正仿宋_GBK" w:cs="方正仿宋_GBK"/>
          <w:color w:val="000000"/>
          <w:sz w:val="30"/>
          <w:szCs w:val="30"/>
          <w:lang w:eastAsia="zh-CN"/>
        </w:rPr>
        <w:t>新能源项目用地租赁费</w:t>
      </w:r>
      <w:r>
        <w:rPr>
          <w:rFonts w:hint="eastAsia" w:ascii="方正仿宋_GBK" w:hAnsi="方正仿宋_GBK" w:eastAsia="方正仿宋_GBK" w:cs="方正仿宋_GBK"/>
          <w:color w:val="000000"/>
          <w:sz w:val="32"/>
          <w:szCs w:val="32"/>
        </w:rPr>
        <w:t>高于现行标准。</w:t>
      </w:r>
    </w:p>
    <w:p>
      <w:pPr>
        <w:pStyle w:val="4"/>
        <w:bidi w:val="0"/>
        <w:rPr>
          <w:rFonts w:hint="eastAsia"/>
          <w:lang w:val="en-US" w:eastAsia="zh-CN"/>
        </w:rPr>
      </w:pPr>
      <w:bookmarkStart w:id="19" w:name="_Toc29293"/>
      <w:bookmarkStart w:id="20" w:name="_Toc7991"/>
      <w:r>
        <w:rPr>
          <w:rFonts w:hint="eastAsia"/>
          <w:lang w:val="en-US" w:eastAsia="zh-CN"/>
        </w:rPr>
        <w:t>（二）与周边县（市、区）新能源项目用地租赁费比较</w:t>
      </w:r>
      <w:bookmarkEnd w:id="19"/>
      <w:bookmarkEnd w:id="20"/>
    </w:p>
    <w:p>
      <w:pPr>
        <w:keepNext w:val="0"/>
        <w:keepLines w:val="0"/>
        <w:pageBreakBefore w:val="0"/>
        <w:widowControl w:val="0"/>
        <w:kinsoku/>
        <w:wordWrap/>
        <w:overflowPunct/>
        <w:topLinePunct w:val="0"/>
        <w:autoSpaceDE/>
        <w:autoSpaceDN/>
        <w:bidi w:val="0"/>
        <w:adjustRightInd/>
        <w:snapToGrid/>
        <w:spacing w:line="600" w:lineRule="atLeast"/>
        <w:ind w:firstLine="641"/>
        <w:textAlignment w:val="auto"/>
        <w:rPr>
          <w:rFonts w:hint="eastAsia" w:ascii="方正仿宋_GBK" w:hAnsi="方正仿宋_GBK" w:eastAsia="方正仿宋_GBK" w:cs="方正仿宋_GBK"/>
          <w:color w:val="000000"/>
          <w:sz w:val="30"/>
          <w:szCs w:val="30"/>
          <w:lang w:eastAsia="zh-CN"/>
        </w:rPr>
      </w:pPr>
      <w:r>
        <w:rPr>
          <w:rFonts w:hint="eastAsia" w:ascii="方正仿宋_GBK" w:hAnsi="方正仿宋_GBK" w:eastAsia="方正仿宋_GBK" w:cs="方正仿宋_GBK"/>
          <w:color w:val="000000"/>
          <w:sz w:val="32"/>
          <w:szCs w:val="32"/>
          <w:lang w:eastAsia="zh-CN"/>
        </w:rPr>
        <w:t>经调查红寺堡区</w:t>
      </w:r>
      <w:r>
        <w:rPr>
          <w:rFonts w:hint="eastAsia" w:ascii="方正仿宋_GBK" w:hAnsi="方正仿宋_GBK" w:eastAsia="方正仿宋_GBK" w:cs="方正仿宋_GBK"/>
          <w:color w:val="000000"/>
          <w:sz w:val="32"/>
          <w:szCs w:val="32"/>
          <w:lang w:val="en-US" w:eastAsia="zh-CN"/>
        </w:rPr>
        <w:t>2023年5月1日执行的</w:t>
      </w:r>
      <w:r>
        <w:rPr>
          <w:rFonts w:hint="eastAsia" w:ascii="方正仿宋_GBK" w:hAnsi="方正仿宋_GBK" w:eastAsia="方正仿宋_GBK" w:cs="方正仿宋_GBK"/>
          <w:color w:val="000000"/>
          <w:sz w:val="30"/>
          <w:szCs w:val="30"/>
          <w:lang w:eastAsia="zh-CN"/>
        </w:rPr>
        <w:t>新能源项目用地租赁的标准为</w:t>
      </w:r>
      <w:r>
        <w:rPr>
          <w:rFonts w:hint="eastAsia" w:ascii="方正仿宋_GBK" w:hAnsi="方正仿宋_GBK" w:eastAsia="方正仿宋_GBK" w:cs="方正仿宋_GBK"/>
          <w:color w:val="000000"/>
          <w:sz w:val="30"/>
          <w:szCs w:val="30"/>
          <w:lang w:val="en-US" w:eastAsia="zh-CN"/>
        </w:rPr>
        <w:t>每年640.0元/亩</w:t>
      </w:r>
      <w:r>
        <w:rPr>
          <w:rFonts w:hint="eastAsia" w:ascii="方正仿宋_GBK" w:hAnsi="方正仿宋_GBK" w:eastAsia="方正仿宋_GBK" w:cs="方正仿宋_GBK"/>
          <w:color w:val="000000"/>
          <w:sz w:val="30"/>
          <w:szCs w:val="30"/>
          <w:lang w:eastAsia="zh-CN"/>
        </w:rPr>
        <w:t>。</w:t>
      </w:r>
    </w:p>
    <w:p>
      <w:pPr>
        <w:spacing w:line="580" w:lineRule="atLeast"/>
        <w:ind w:left="0" w:leftChars="0" w:firstLine="0" w:firstLineChars="0"/>
      </w:pPr>
      <w:r>
        <w:drawing>
          <wp:inline distT="0" distB="0" distL="114300" distR="114300">
            <wp:extent cx="5320665" cy="2596515"/>
            <wp:effectExtent l="0" t="0" r="13335" b="9525"/>
            <wp:docPr id="3"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true"/>
                    </pic:cNvPicPr>
                  </pic:nvPicPr>
                  <pic:blipFill>
                    <a:blip r:embed="rId7"/>
                    <a:stretch>
                      <a:fillRect/>
                    </a:stretch>
                  </pic:blipFill>
                  <pic:spPr>
                    <a:xfrm>
                      <a:off x="0" y="0"/>
                      <a:ext cx="5320665" cy="2596515"/>
                    </a:xfrm>
                    <a:prstGeom prst="rect">
                      <a:avLst/>
                    </a:prstGeom>
                    <a:noFill/>
                    <a:ln>
                      <a:noFill/>
                    </a:ln>
                  </pic:spPr>
                </pic:pic>
              </a:graphicData>
            </a:graphic>
          </wp:inline>
        </w:drawing>
      </w:r>
      <w:r>
        <w:drawing>
          <wp:inline distT="0" distB="0" distL="114300" distR="114300">
            <wp:extent cx="5323840" cy="2223770"/>
            <wp:effectExtent l="0" t="0" r="10160" b="1270"/>
            <wp:docPr id="7"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true"/>
                    </pic:cNvPicPr>
                  </pic:nvPicPr>
                  <pic:blipFill>
                    <a:blip r:embed="rId8"/>
                    <a:stretch>
                      <a:fillRect/>
                    </a:stretch>
                  </pic:blipFill>
                  <pic:spPr>
                    <a:xfrm>
                      <a:off x="0" y="0"/>
                      <a:ext cx="5323840" cy="2223770"/>
                    </a:xfrm>
                    <a:prstGeom prst="rect">
                      <a:avLst/>
                    </a:prstGeom>
                    <a:noFill/>
                    <a:ln>
                      <a:noFill/>
                    </a:ln>
                  </pic:spPr>
                </pic:pic>
              </a:graphicData>
            </a:graphic>
          </wp:inline>
        </w:drawing>
      </w:r>
    </w:p>
    <w:p>
      <w:pPr>
        <w:spacing w:line="580" w:lineRule="atLeast"/>
        <w:ind w:firstLine="640"/>
      </w:pPr>
    </w:p>
    <w:p>
      <w:pPr>
        <w:ind w:firstLine="640" w:firstLineChars="200"/>
        <w:rPr>
          <w:rFonts w:hint="eastAsia" w:ascii="方正仿宋_GBK" w:hAnsi="方正仿宋_GBK" w:eastAsia="方正仿宋_GBK" w:cs="方正仿宋_GBK"/>
          <w:color w:val="000000"/>
          <w:sz w:val="30"/>
          <w:szCs w:val="30"/>
          <w:lang w:eastAsia="zh-CN"/>
        </w:rPr>
      </w:pPr>
      <w:r>
        <w:rPr>
          <w:rFonts w:hint="eastAsia" w:ascii="方正仿宋_GBK" w:hAnsi="方正仿宋_GBK" w:eastAsia="方正仿宋_GBK" w:cs="方正仿宋_GBK"/>
          <w:color w:val="000000"/>
          <w:sz w:val="32"/>
          <w:szCs w:val="32"/>
          <w:lang w:eastAsia="zh-CN"/>
        </w:rPr>
        <w:t>经调查青铜峡</w:t>
      </w:r>
      <w:r>
        <w:rPr>
          <w:rFonts w:hint="eastAsia" w:ascii="方正仿宋_GBK" w:hAnsi="方正仿宋_GBK" w:eastAsia="方正仿宋_GBK" w:cs="方正仿宋_GBK"/>
          <w:color w:val="auto"/>
          <w:sz w:val="32"/>
          <w:szCs w:val="32"/>
          <w:lang w:eastAsia="zh-CN"/>
        </w:rPr>
        <w:t>市</w:t>
      </w:r>
      <w:r>
        <w:rPr>
          <w:rFonts w:hint="eastAsia" w:ascii="方正仿宋_GBK" w:hAnsi="方正仿宋_GBK" w:eastAsia="方正仿宋_GBK" w:cs="方正仿宋_GBK"/>
          <w:color w:val="auto"/>
          <w:sz w:val="32"/>
          <w:szCs w:val="32"/>
          <w:lang w:val="en-US" w:eastAsia="zh-CN"/>
        </w:rPr>
        <w:t>2024年2月28日执</w:t>
      </w:r>
      <w:r>
        <w:rPr>
          <w:rFonts w:hint="eastAsia" w:ascii="方正仿宋_GBK" w:hAnsi="方正仿宋_GBK" w:eastAsia="方正仿宋_GBK" w:cs="方正仿宋_GBK"/>
          <w:color w:val="000000"/>
          <w:sz w:val="32"/>
          <w:szCs w:val="32"/>
          <w:lang w:val="en-US" w:eastAsia="zh-CN"/>
        </w:rPr>
        <w:t>行的</w:t>
      </w:r>
      <w:r>
        <w:rPr>
          <w:rFonts w:hint="eastAsia" w:ascii="方正仿宋_GBK" w:hAnsi="方正仿宋_GBK" w:eastAsia="方正仿宋_GBK" w:cs="方正仿宋_GBK"/>
          <w:color w:val="000000"/>
          <w:sz w:val="30"/>
          <w:szCs w:val="30"/>
          <w:lang w:eastAsia="zh-CN"/>
        </w:rPr>
        <w:t>新能源项目用地租赁的标准为</w:t>
      </w:r>
      <w:r>
        <w:rPr>
          <w:rFonts w:hint="eastAsia" w:ascii="方正仿宋_GBK" w:hAnsi="方正仿宋_GBK" w:eastAsia="方正仿宋_GBK" w:cs="方正仿宋_GBK"/>
          <w:color w:val="000000"/>
          <w:sz w:val="30"/>
          <w:szCs w:val="30"/>
          <w:lang w:val="en-US" w:eastAsia="zh-CN"/>
        </w:rPr>
        <w:t>每年1元/平方米，即667.0元/亩</w:t>
      </w:r>
      <w:r>
        <w:rPr>
          <w:rFonts w:hint="eastAsia" w:ascii="方正仿宋_GBK" w:hAnsi="方正仿宋_GBK" w:eastAsia="方正仿宋_GBK" w:cs="方正仿宋_GBK"/>
          <w:color w:val="000000"/>
          <w:sz w:val="30"/>
          <w:szCs w:val="30"/>
          <w:lang w:eastAsia="zh-CN"/>
        </w:rPr>
        <w:t>。</w:t>
      </w:r>
    </w:p>
    <w:p>
      <w:pPr>
        <w:pStyle w:val="2"/>
        <w:ind w:left="210" w:leftChars="0" w:firstLine="69" w:firstLineChars="29"/>
      </w:pPr>
      <w:r>
        <w:drawing>
          <wp:inline distT="0" distB="0" distL="114300" distR="114300">
            <wp:extent cx="5324475" cy="4006850"/>
            <wp:effectExtent l="0" t="0" r="9525" b="1270"/>
            <wp:docPr id="10"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true"/>
                    </pic:cNvPicPr>
                  </pic:nvPicPr>
                  <pic:blipFill>
                    <a:blip r:embed="rId9"/>
                    <a:stretch>
                      <a:fillRect/>
                    </a:stretch>
                  </pic:blipFill>
                  <pic:spPr>
                    <a:xfrm>
                      <a:off x="0" y="0"/>
                      <a:ext cx="5324475" cy="4006850"/>
                    </a:xfrm>
                    <a:prstGeom prst="rect">
                      <a:avLst/>
                    </a:prstGeom>
                    <a:noFill/>
                    <a:ln>
                      <a:noFill/>
                    </a:ln>
                  </pic:spPr>
                </pic:pic>
              </a:graphicData>
            </a:graphic>
          </wp:inline>
        </w:drawing>
      </w:r>
      <w:r>
        <w:drawing>
          <wp:inline distT="0" distB="0" distL="114300" distR="114300">
            <wp:extent cx="5325745" cy="2220595"/>
            <wp:effectExtent l="0" t="0" r="8255" b="4445"/>
            <wp:docPr id="13"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true"/>
                    </pic:cNvPicPr>
                  </pic:nvPicPr>
                  <pic:blipFill>
                    <a:blip r:embed="rId10"/>
                    <a:stretch>
                      <a:fillRect/>
                    </a:stretch>
                  </pic:blipFill>
                  <pic:spPr>
                    <a:xfrm>
                      <a:off x="0" y="0"/>
                      <a:ext cx="5325745" cy="2220595"/>
                    </a:xfrm>
                    <a:prstGeom prst="rect">
                      <a:avLst/>
                    </a:prstGeom>
                    <a:noFill/>
                    <a:ln>
                      <a:noFill/>
                    </a:ln>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line="240" w:lineRule="auto"/>
        <w:ind w:left="210" w:right="210" w:firstLine="0" w:firstLineChars="0"/>
        <w:textAlignment w:val="auto"/>
        <w:rPr>
          <w:rFonts w:hint="eastAsia" w:ascii="方正仿宋_GBK" w:hAnsi="方正仿宋_GBK" w:eastAsia="方正仿宋_GBK" w:cs="方正仿宋_GBK"/>
          <w:color w:val="000000"/>
          <w:sz w:val="32"/>
          <w:szCs w:val="32"/>
          <w:lang w:eastAsia="zh-CN"/>
        </w:rPr>
      </w:pPr>
    </w:p>
    <w:p>
      <w:pPr>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br w:type="page"/>
      </w:r>
    </w:p>
    <w:p>
      <w:pPr>
        <w:spacing w:line="580" w:lineRule="atLeast"/>
        <w:ind w:firstLine="640"/>
        <w:rPr>
          <w:rFonts w:hint="eastAsia" w:ascii="方正仿宋_GBK" w:hAnsi="方正仿宋_GBK" w:eastAsia="方正仿宋_GBK" w:cs="方正仿宋_GBK"/>
          <w:color w:val="000000"/>
          <w:sz w:val="30"/>
          <w:szCs w:val="30"/>
          <w:lang w:eastAsia="zh-CN"/>
        </w:rPr>
      </w:pPr>
      <w:r>
        <w:rPr>
          <w:rFonts w:hint="eastAsia" w:ascii="方正仿宋_GBK" w:hAnsi="方正仿宋_GBK" w:eastAsia="方正仿宋_GBK" w:cs="方正仿宋_GBK"/>
          <w:color w:val="000000"/>
          <w:sz w:val="32"/>
          <w:szCs w:val="32"/>
          <w:lang w:eastAsia="zh-CN"/>
        </w:rPr>
        <w:t>经调查中卫市沙坡头</w:t>
      </w:r>
      <w:r>
        <w:rPr>
          <w:rFonts w:hint="eastAsia" w:ascii="方正仿宋_GBK" w:hAnsi="方正仿宋_GBK" w:eastAsia="方正仿宋_GBK" w:cs="方正仿宋_GBK"/>
          <w:color w:val="auto"/>
          <w:sz w:val="32"/>
          <w:szCs w:val="32"/>
          <w:lang w:eastAsia="zh-CN"/>
        </w:rPr>
        <w:t>区</w:t>
      </w:r>
      <w:r>
        <w:rPr>
          <w:rFonts w:hint="eastAsia" w:ascii="方正仿宋_GBK" w:hAnsi="方正仿宋_GBK" w:eastAsia="方正仿宋_GBK" w:cs="方正仿宋_GBK"/>
          <w:color w:val="auto"/>
          <w:sz w:val="32"/>
          <w:szCs w:val="32"/>
          <w:lang w:val="en-US" w:eastAsia="zh-CN"/>
        </w:rPr>
        <w:t>2023年</w:t>
      </w:r>
      <w:r>
        <w:rPr>
          <w:rFonts w:hint="eastAsia" w:ascii="方正仿宋_GBK" w:hAnsi="方正仿宋_GBK" w:eastAsia="方正仿宋_GBK" w:cs="方正仿宋_GBK"/>
          <w:color w:val="000000"/>
          <w:sz w:val="30"/>
          <w:szCs w:val="30"/>
          <w:lang w:eastAsia="zh-CN"/>
        </w:rPr>
        <w:t>新能源项目用地租赁的标准为</w:t>
      </w:r>
      <w:r>
        <w:rPr>
          <w:rFonts w:hint="eastAsia" w:ascii="方正仿宋_GBK" w:hAnsi="方正仿宋_GBK" w:eastAsia="方正仿宋_GBK" w:cs="方正仿宋_GBK"/>
          <w:color w:val="000000"/>
          <w:sz w:val="30"/>
          <w:szCs w:val="30"/>
          <w:lang w:val="en-US" w:eastAsia="zh-CN"/>
        </w:rPr>
        <w:t>每年648.0元/亩</w:t>
      </w:r>
      <w:r>
        <w:rPr>
          <w:rFonts w:hint="eastAsia" w:ascii="方正仿宋_GBK" w:hAnsi="方正仿宋_GBK" w:eastAsia="方正仿宋_GBK" w:cs="方正仿宋_GBK"/>
          <w:color w:val="000000"/>
          <w:sz w:val="30"/>
          <w:szCs w:val="30"/>
          <w:lang w:eastAsia="zh-CN"/>
        </w:rPr>
        <w:t>。</w:t>
      </w:r>
    </w:p>
    <w:p>
      <w:pPr>
        <w:pStyle w:val="2"/>
        <w:ind w:left="208" w:leftChars="0" w:hanging="208" w:hangingChars="87"/>
        <w:rPr>
          <w:rFonts w:hint="eastAsia" w:ascii="方正仿宋_GBK" w:hAnsi="方正仿宋_GBK" w:eastAsia="方正仿宋_GBK" w:cs="方正仿宋_GBK"/>
          <w:color w:val="000000"/>
          <w:sz w:val="32"/>
          <w:szCs w:val="32"/>
        </w:rPr>
      </w:pPr>
      <w:r>
        <w:drawing>
          <wp:inline distT="0" distB="0" distL="114300" distR="114300">
            <wp:extent cx="5320665" cy="1367790"/>
            <wp:effectExtent l="0" t="0" r="13335" b="3810"/>
            <wp:docPr id="17" name="图片 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true"/>
                    </pic:cNvPicPr>
                  </pic:nvPicPr>
                  <pic:blipFill>
                    <a:blip r:embed="rId11"/>
                    <a:stretch>
                      <a:fillRect/>
                    </a:stretch>
                  </pic:blipFill>
                  <pic:spPr>
                    <a:xfrm>
                      <a:off x="0" y="0"/>
                      <a:ext cx="5320665" cy="1367790"/>
                    </a:xfrm>
                    <a:prstGeom prst="rect">
                      <a:avLst/>
                    </a:prstGeom>
                    <a:noFill/>
                    <a:ln>
                      <a:noFill/>
                    </a:ln>
                  </pic:spPr>
                </pic:pic>
              </a:graphicData>
            </a:graphic>
          </wp:inline>
        </w:drawing>
      </w:r>
      <w:r>
        <w:drawing>
          <wp:inline distT="0" distB="0" distL="114300" distR="114300">
            <wp:extent cx="5320665" cy="2695575"/>
            <wp:effectExtent l="0" t="0" r="13335" b="1905"/>
            <wp:docPr id="8"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true"/>
                    </pic:cNvPicPr>
                  </pic:nvPicPr>
                  <pic:blipFill>
                    <a:blip r:embed="rId12"/>
                    <a:stretch>
                      <a:fillRect/>
                    </a:stretch>
                  </pic:blipFill>
                  <pic:spPr>
                    <a:xfrm>
                      <a:off x="0" y="0"/>
                      <a:ext cx="5320665" cy="2695575"/>
                    </a:xfrm>
                    <a:prstGeom prst="rect">
                      <a:avLst/>
                    </a:prstGeom>
                    <a:noFill/>
                    <a:ln>
                      <a:noFill/>
                    </a:ln>
                  </pic:spPr>
                </pic:pic>
              </a:graphicData>
            </a:graphic>
          </wp:inline>
        </w:drawing>
      </w:r>
      <w:r>
        <w:drawing>
          <wp:inline distT="0" distB="0" distL="114300" distR="114300">
            <wp:extent cx="5325110" cy="1098550"/>
            <wp:effectExtent l="0" t="0" r="8890" b="13970"/>
            <wp:docPr id="9"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true"/>
                    </pic:cNvPicPr>
                  </pic:nvPicPr>
                  <pic:blipFill>
                    <a:blip r:embed="rId13"/>
                    <a:stretch>
                      <a:fillRect/>
                    </a:stretch>
                  </pic:blipFill>
                  <pic:spPr>
                    <a:xfrm>
                      <a:off x="0" y="0"/>
                      <a:ext cx="5325110" cy="1098550"/>
                    </a:xfrm>
                    <a:prstGeom prst="rect">
                      <a:avLst/>
                    </a:prstGeom>
                    <a:noFill/>
                    <a:ln>
                      <a:noFill/>
                    </a:ln>
                  </pic:spPr>
                </pic:pic>
              </a:graphicData>
            </a:graphic>
          </wp:inline>
        </w:drawing>
      </w:r>
    </w:p>
    <w:p>
      <w:pPr>
        <w:pStyle w:val="2"/>
        <w:ind w:left="208" w:leftChars="0" w:hanging="208" w:hangingChars="87"/>
      </w:pPr>
      <w:r>
        <w:drawing>
          <wp:inline distT="0" distB="0" distL="114300" distR="114300">
            <wp:extent cx="5320030" cy="1665605"/>
            <wp:effectExtent l="0" t="0" r="13970" b="10795"/>
            <wp:docPr id="18" name="图片 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 name="图片 10"/>
                    <pic:cNvPicPr>
                      <a:picLocks noChangeAspect="true"/>
                    </pic:cNvPicPr>
                  </pic:nvPicPr>
                  <pic:blipFill>
                    <a:blip r:embed="rId14"/>
                    <a:stretch>
                      <a:fillRect/>
                    </a:stretch>
                  </pic:blipFill>
                  <pic:spPr>
                    <a:xfrm>
                      <a:off x="0" y="0"/>
                      <a:ext cx="5320030" cy="1665605"/>
                    </a:xfrm>
                    <a:prstGeom prst="rect">
                      <a:avLst/>
                    </a:prstGeom>
                    <a:noFill/>
                    <a:ln>
                      <a:noFill/>
                    </a:ln>
                  </pic:spPr>
                </pic:pic>
              </a:graphicData>
            </a:graphic>
          </wp:inline>
        </w:drawing>
      </w:r>
    </w:p>
    <w:p>
      <w:r>
        <w:br w:type="page"/>
      </w:r>
    </w:p>
    <w:p>
      <w:pPr>
        <w:pStyle w:val="2"/>
        <w:ind w:left="239" w:leftChars="114" w:firstLine="506" w:firstLineChars="211"/>
        <w:jc w:val="center"/>
        <w:rPr>
          <w:rFonts w:hint="default" w:ascii="方正仿宋_GBK" w:hAnsi="方正仿宋_GBK" w:eastAsia="方正仿宋_GBK" w:cs="方正仿宋_GBK"/>
          <w:b/>
          <w:bCs/>
          <w:color w:val="000000"/>
          <w:sz w:val="24"/>
          <w:szCs w:val="24"/>
          <w:lang w:val="en-US" w:eastAsia="zh-CN"/>
        </w:rPr>
      </w:pPr>
      <w:r>
        <w:drawing>
          <wp:inline distT="0" distB="0" distL="114300" distR="114300">
            <wp:extent cx="4823460" cy="2743200"/>
            <wp:effectExtent l="4445" t="4445" r="18415" b="10795"/>
            <wp:docPr id="2" name="图表 1" descr="7b0a202020202263686172745265734964223a202232303437363830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hint="eastAsia" w:ascii="方正仿宋_GBK" w:hAnsi="方正仿宋_GBK" w:eastAsia="方正仿宋_GBK" w:cs="方正仿宋_GBK"/>
          <w:b/>
          <w:bCs/>
          <w:color w:val="000000"/>
          <w:sz w:val="24"/>
          <w:szCs w:val="24"/>
          <w:lang w:val="en-US" w:eastAsia="zh-CN"/>
        </w:rPr>
        <w:t>利通区与周边县（市、区）新能源项目用地租赁费比较图</w:t>
      </w:r>
    </w:p>
    <w:p>
      <w:pPr>
        <w:pageBreakBefore w:val="0"/>
        <w:widowControl w:val="0"/>
        <w:numPr>
          <w:ilvl w:val="0"/>
          <w:numId w:val="0"/>
        </w:numPr>
        <w:kinsoku/>
        <w:wordWrap/>
        <w:overflowPunct/>
        <w:topLinePunct w:val="0"/>
        <w:autoSpaceDE/>
        <w:autoSpaceDN/>
        <w:bidi w:val="0"/>
        <w:adjustRightInd/>
        <w:snapToGrid/>
        <w:spacing w:line="580" w:lineRule="exact"/>
        <w:ind w:firstLine="600" w:firstLineChars="200"/>
        <w:jc w:val="both"/>
        <w:textAlignment w:val="auto"/>
        <w:rPr>
          <w:rFonts w:hint="eastAsia" w:ascii="方正仿宋_GBK" w:hAnsi="方正仿宋_GBK" w:eastAsia="方正仿宋_GBK" w:cs="方正仿宋_GBK"/>
          <w:b w:val="0"/>
          <w:bCs w:val="0"/>
          <w:color w:val="auto"/>
          <w:sz w:val="30"/>
          <w:szCs w:val="30"/>
          <w:lang w:val="en-US" w:eastAsia="zh-CN"/>
        </w:rPr>
      </w:pPr>
      <w:r>
        <w:rPr>
          <w:rFonts w:hint="eastAsia" w:ascii="方正仿宋_GBK" w:hAnsi="方正仿宋_GBK" w:eastAsia="方正仿宋_GBK" w:cs="方正仿宋_GBK"/>
          <w:b w:val="0"/>
          <w:bCs w:val="0"/>
          <w:color w:val="auto"/>
          <w:sz w:val="30"/>
          <w:szCs w:val="30"/>
          <w:lang w:val="en-US" w:eastAsia="zh-CN"/>
        </w:rPr>
        <w:t>通过比较，本次新能源项目用地租赁费高于红寺堡区和中卫市沙坡头区现行标准，低于青铜峡市现行标准。</w:t>
      </w:r>
    </w:p>
    <w:p>
      <w:pPr>
        <w:pStyle w:val="3"/>
        <w:bidi w:val="0"/>
        <w:rPr>
          <w:rFonts w:hint="default"/>
          <w:lang w:val="en-US" w:eastAsia="zh-CN"/>
        </w:rPr>
      </w:pPr>
      <w:bookmarkStart w:id="21" w:name="_Toc23310"/>
      <w:r>
        <w:rPr>
          <w:rFonts w:hint="eastAsia"/>
          <w:lang w:val="en-US" w:eastAsia="zh-CN"/>
        </w:rPr>
        <w:t>五、应用建议</w:t>
      </w:r>
      <w:bookmarkEnd w:id="21"/>
    </w:p>
    <w:p>
      <w:pPr>
        <w:pStyle w:val="4"/>
        <w:pageBreakBefore w:val="0"/>
        <w:widowControl w:val="0"/>
        <w:kinsoku/>
        <w:wordWrap/>
        <w:overflowPunct/>
        <w:topLinePunct w:val="0"/>
        <w:autoSpaceDE/>
        <w:autoSpaceDN/>
        <w:bidi w:val="0"/>
        <w:adjustRightInd/>
        <w:snapToGrid/>
        <w:spacing w:before="0" w:beforeLines="0" w:after="0" w:afterLines="0" w:line="580" w:lineRule="exact"/>
        <w:ind w:firstLine="642" w:firstLineChars="200"/>
        <w:textAlignment w:val="auto"/>
        <w:rPr>
          <w:rFonts w:hint="eastAsia" w:ascii="方正楷体_GB2312" w:hAnsi="方正楷体_GB2312" w:eastAsia="方正楷体_GB2312" w:cs="方正楷体_GB2312"/>
          <w:lang w:val="en-US" w:eastAsia="zh-CN"/>
        </w:rPr>
      </w:pPr>
      <w:bookmarkStart w:id="22" w:name="_Toc7347"/>
      <w:r>
        <w:rPr>
          <w:rFonts w:hint="eastAsia" w:ascii="方正楷体_GB2312" w:hAnsi="方正楷体_GB2312" w:eastAsia="方正楷体_GB2312" w:cs="方正楷体_GB2312"/>
          <w:lang w:val="en-US" w:eastAsia="zh-CN"/>
        </w:rPr>
        <w:t>（一）明确标准适用范围，规范用地管理</w:t>
      </w:r>
      <w:bookmarkEnd w:id="22"/>
    </w:p>
    <w:p>
      <w:pPr>
        <w:pageBreakBefore w:val="0"/>
        <w:widowControl w:val="0"/>
        <w:numPr>
          <w:ilvl w:val="0"/>
          <w:numId w:val="0"/>
        </w:numPr>
        <w:kinsoku/>
        <w:wordWrap/>
        <w:overflowPunct/>
        <w:topLinePunct w:val="0"/>
        <w:autoSpaceDE/>
        <w:autoSpaceDN/>
        <w:bidi w:val="0"/>
        <w:adjustRightInd/>
        <w:snapToGrid/>
        <w:spacing w:line="580" w:lineRule="exact"/>
        <w:ind w:firstLine="600" w:firstLineChars="200"/>
        <w:jc w:val="both"/>
        <w:textAlignment w:val="auto"/>
        <w:rPr>
          <w:rFonts w:hint="eastAsia" w:ascii="方正仿宋_GBK" w:hAnsi="方正仿宋_GBK" w:eastAsia="方正仿宋_GBK" w:cs="方正仿宋_GBK"/>
          <w:b w:val="0"/>
          <w:bCs w:val="0"/>
          <w:color w:val="auto"/>
          <w:sz w:val="30"/>
          <w:szCs w:val="30"/>
          <w:lang w:val="en-US" w:eastAsia="zh-CN"/>
        </w:rPr>
      </w:pPr>
      <w:r>
        <w:rPr>
          <w:rFonts w:hint="eastAsia" w:ascii="方正仿宋_GBK" w:hAnsi="方正仿宋_GBK" w:eastAsia="方正仿宋_GBK" w:cs="方正仿宋_GBK"/>
          <w:b w:val="0"/>
          <w:bCs w:val="0"/>
          <w:color w:val="auto"/>
          <w:sz w:val="30"/>
          <w:szCs w:val="30"/>
          <w:lang w:val="en-US" w:eastAsia="zh-CN"/>
        </w:rPr>
        <w:t xml:space="preserve">对光伏阵列、检修道路等非永久设施，按原地类认定，允许租赁使用；对升压站等永久性建筑必须转为建设用地，严格审批程序；明确禁止占用基本农田、生态保护区，优先选择未利用地或非耕地，参考“沙戈荒”基地开发模式，兼顾生态保护与开发效率，共同推动土地资源的合理配置和高效利用。 </w:t>
      </w:r>
    </w:p>
    <w:p>
      <w:pPr>
        <w:pStyle w:val="4"/>
        <w:pageBreakBefore w:val="0"/>
        <w:widowControl w:val="0"/>
        <w:kinsoku/>
        <w:wordWrap/>
        <w:overflowPunct/>
        <w:topLinePunct w:val="0"/>
        <w:autoSpaceDE/>
        <w:autoSpaceDN/>
        <w:bidi w:val="0"/>
        <w:adjustRightInd/>
        <w:snapToGrid/>
        <w:spacing w:before="0" w:beforeLines="0" w:after="0" w:afterLines="0" w:line="580" w:lineRule="exact"/>
        <w:ind w:firstLine="642" w:firstLineChars="200"/>
        <w:textAlignment w:val="auto"/>
        <w:rPr>
          <w:rFonts w:hint="eastAsia" w:ascii="方正仿宋_GBK" w:hAnsi="方正仿宋_GBK" w:eastAsia="方正仿宋_GBK" w:cs="方正仿宋_GBK"/>
          <w:b w:val="0"/>
          <w:bCs w:val="0"/>
          <w:sz w:val="30"/>
          <w:szCs w:val="30"/>
          <w:lang w:val="en-US" w:eastAsia="zh-CN"/>
        </w:rPr>
      </w:pPr>
      <w:bookmarkStart w:id="23" w:name="_Toc30747"/>
      <w:r>
        <w:rPr>
          <w:rFonts w:hint="eastAsia" w:ascii="方正楷体_GB2312" w:hAnsi="方正楷体_GB2312" w:eastAsia="方正楷体_GB2312" w:cs="方正楷体_GB2312"/>
          <w:lang w:val="en-US" w:eastAsia="zh-CN"/>
        </w:rPr>
        <w:t>（二）建立动态调整机制</w:t>
      </w:r>
      <w:bookmarkEnd w:id="23"/>
    </w:p>
    <w:p>
      <w:pPr>
        <w:pageBreakBefore w:val="0"/>
        <w:widowControl w:val="0"/>
        <w:numPr>
          <w:ilvl w:val="0"/>
          <w:numId w:val="0"/>
        </w:numPr>
        <w:kinsoku/>
        <w:wordWrap/>
        <w:overflowPunct/>
        <w:topLinePunct w:val="0"/>
        <w:autoSpaceDE/>
        <w:autoSpaceDN/>
        <w:bidi w:val="0"/>
        <w:adjustRightInd/>
        <w:snapToGrid/>
        <w:spacing w:line="580" w:lineRule="exact"/>
        <w:ind w:firstLine="600" w:firstLineChars="200"/>
        <w:jc w:val="both"/>
        <w:textAlignment w:val="auto"/>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根据土地市场状况、基准地价、征收农用地区片综合地价等影响因素，结合国家政策调整、地区经济发展水平变化等因素，当土地市场价格波动超过一定幅度、基准地价或征收农用地区片综合地价发生重大调整时，及时启动租赁标准的修订程序，对新能源项目用地租赁标准进行动态核定与更新。确保动态调整机制能够及时响应市场和社会的需求，保障租赁标准的科学性和合理性，促进新能源产业的持续健康发展。</w:t>
      </w:r>
    </w:p>
    <w:p>
      <w:pPr>
        <w:pStyle w:val="4"/>
        <w:pageBreakBefore w:val="0"/>
        <w:widowControl w:val="0"/>
        <w:kinsoku/>
        <w:wordWrap/>
        <w:overflowPunct/>
        <w:topLinePunct w:val="0"/>
        <w:autoSpaceDE/>
        <w:autoSpaceDN/>
        <w:bidi w:val="0"/>
        <w:adjustRightInd/>
        <w:snapToGrid/>
        <w:spacing w:before="0" w:beforeLines="0" w:after="0" w:afterLines="0" w:line="580" w:lineRule="exact"/>
        <w:ind w:firstLine="642" w:firstLineChars="200"/>
        <w:textAlignment w:val="auto"/>
        <w:rPr>
          <w:rFonts w:hint="eastAsia" w:ascii="方正仿宋_GBK" w:hAnsi="方正仿宋_GBK" w:eastAsia="方正仿宋_GBK" w:cs="方正仿宋_GBK"/>
          <w:b w:val="0"/>
          <w:bCs w:val="0"/>
          <w:sz w:val="30"/>
          <w:szCs w:val="30"/>
          <w:lang w:val="en-US" w:eastAsia="zh-CN"/>
        </w:rPr>
      </w:pPr>
      <w:bookmarkStart w:id="24" w:name="_Toc3082"/>
      <w:r>
        <w:rPr>
          <w:rFonts w:hint="eastAsia" w:ascii="方正楷体_GB2312" w:hAnsi="方正楷体_GB2312" w:eastAsia="方正楷体_GB2312" w:cs="方正楷体_GB2312"/>
          <w:lang w:val="en-US" w:eastAsia="zh-CN"/>
        </w:rPr>
        <w:t>（三）完善公众参与</w:t>
      </w:r>
      <w:bookmarkEnd w:id="24"/>
    </w:p>
    <w:p>
      <w:pPr>
        <w:pageBreakBefore w:val="0"/>
        <w:widowControl w:val="0"/>
        <w:numPr>
          <w:ilvl w:val="0"/>
          <w:numId w:val="0"/>
        </w:numPr>
        <w:kinsoku/>
        <w:wordWrap/>
        <w:overflowPunct/>
        <w:topLinePunct w:val="0"/>
        <w:autoSpaceDE/>
        <w:autoSpaceDN/>
        <w:bidi w:val="0"/>
        <w:adjustRightInd/>
        <w:snapToGrid/>
        <w:spacing w:line="580" w:lineRule="exact"/>
        <w:ind w:firstLine="600" w:firstLineChars="200"/>
        <w:jc w:val="both"/>
        <w:textAlignment w:val="auto"/>
        <w:rPr>
          <w:rFonts w:hint="eastAsia" w:eastAsiaTheme="minorEastAsia"/>
          <w:lang w:eastAsia="zh-CN"/>
        </w:rPr>
      </w:pPr>
      <w:r>
        <w:rPr>
          <w:rFonts w:hint="eastAsia" w:ascii="方正仿宋_GBK" w:hAnsi="方正仿宋_GBK" w:eastAsia="方正仿宋_GBK" w:cs="方正仿宋_GBK"/>
          <w:b w:val="0"/>
          <w:bCs w:val="0"/>
          <w:sz w:val="30"/>
          <w:szCs w:val="30"/>
          <w:lang w:val="en-US" w:eastAsia="zh-CN"/>
        </w:rPr>
        <w:t>租金标准的制定过程必须充分遵循公开透明的原则，广泛征求社会各界的意见和建议，例如通过社会稳定风险评估公示等方式，全面收集并认真研究相关部门、专家以及广大租户等利益相关方的反馈信息，在此基础上进行科学分析和民主决策，从而确保最终确定的租金标准既符合实际情况，又体现公平合理，有效保障各方权益，促进社会和谐稳定。</w:t>
      </w:r>
    </w:p>
    <w:p>
      <w:pPr>
        <w:pageBreakBefore w:val="0"/>
        <w:widowControl w:val="0"/>
        <w:numPr>
          <w:ilvl w:val="0"/>
          <w:numId w:val="0"/>
        </w:numPr>
        <w:kinsoku/>
        <w:wordWrap/>
        <w:overflowPunct/>
        <w:topLinePunct w:val="0"/>
        <w:autoSpaceDE/>
        <w:autoSpaceDN/>
        <w:bidi w:val="0"/>
        <w:adjustRightInd/>
        <w:snapToGrid/>
        <w:spacing w:line="580" w:lineRule="exact"/>
        <w:ind w:firstLine="642" w:firstLineChars="200"/>
        <w:jc w:val="both"/>
        <w:textAlignment w:val="auto"/>
        <w:rPr>
          <w:rFonts w:hint="eastAsia" w:ascii="方正仿宋_GBK" w:hAnsi="方正仿宋_GBK" w:eastAsia="方正仿宋_GBK" w:cs="方正仿宋_GBK"/>
          <w:b w:val="0"/>
          <w:bCs w:val="0"/>
          <w:sz w:val="30"/>
          <w:szCs w:val="30"/>
          <w:lang w:val="en-US" w:eastAsia="zh-CN"/>
        </w:rPr>
      </w:pPr>
      <w:r>
        <w:rPr>
          <w:rFonts w:hint="eastAsia" w:ascii="方正楷体_GB2312" w:hAnsi="方正楷体_GB2312" w:eastAsia="方正楷体_GB2312" w:cs="方正楷体_GB2312"/>
          <w:b/>
          <w:kern w:val="2"/>
          <w:sz w:val="32"/>
          <w:szCs w:val="24"/>
          <w:lang w:val="en-US" w:eastAsia="zh-CN" w:bidi="ar-SA"/>
        </w:rPr>
        <w:t>（四）政策协同与长期规划</w:t>
      </w:r>
      <w:r>
        <w:rPr>
          <w:rFonts w:hint="eastAsia" w:ascii="方正仿宋_GBK" w:hAnsi="方正仿宋_GBK" w:eastAsia="方正仿宋_GBK" w:cs="方正仿宋_GBK"/>
          <w:b w:val="0"/>
          <w:bCs w:val="0"/>
          <w:sz w:val="30"/>
          <w:szCs w:val="30"/>
          <w:lang w:val="en-US" w:eastAsia="zh-CN"/>
        </w:rPr>
        <w:t>‌</w:t>
      </w:r>
    </w:p>
    <w:p>
      <w:pPr>
        <w:pageBreakBefore w:val="0"/>
        <w:widowControl w:val="0"/>
        <w:numPr>
          <w:ilvl w:val="0"/>
          <w:numId w:val="0"/>
        </w:numPr>
        <w:kinsoku/>
        <w:wordWrap/>
        <w:overflowPunct/>
        <w:topLinePunct w:val="0"/>
        <w:autoSpaceDE/>
        <w:autoSpaceDN/>
        <w:bidi w:val="0"/>
        <w:adjustRightInd/>
        <w:snapToGrid/>
        <w:spacing w:line="580" w:lineRule="exact"/>
        <w:ind w:firstLine="600" w:firstLineChars="200"/>
        <w:jc w:val="both"/>
        <w:textAlignment w:val="auto"/>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对接国家战略和自治区发展，关注新能源消纳政策，如“沙戈荒”基地外送与就地消纳并举策略，确保标准与宏观目标一致；在合同中设置续租或调整条款，适应未来政策变化，降低不确定性风险。</w:t>
      </w:r>
    </w:p>
    <w:p>
      <w:pPr>
        <w:pStyle w:val="4"/>
        <w:pageBreakBefore w:val="0"/>
        <w:widowControl w:val="0"/>
        <w:kinsoku/>
        <w:wordWrap/>
        <w:overflowPunct/>
        <w:topLinePunct w:val="0"/>
        <w:autoSpaceDE/>
        <w:autoSpaceDN/>
        <w:bidi w:val="0"/>
        <w:adjustRightInd/>
        <w:snapToGrid/>
        <w:spacing w:before="0" w:beforeLines="0" w:after="0" w:afterLines="0" w:line="580" w:lineRule="exact"/>
        <w:ind w:firstLine="642" w:firstLineChars="200"/>
        <w:textAlignment w:val="auto"/>
        <w:rPr>
          <w:rFonts w:hint="eastAsia" w:ascii="方正楷体_GB2312" w:hAnsi="方正楷体_GB2312" w:eastAsia="方正楷体_GB2312" w:cs="方正楷体_GB2312"/>
          <w:b/>
          <w:kern w:val="2"/>
          <w:sz w:val="32"/>
          <w:szCs w:val="24"/>
          <w:lang w:val="en-US" w:eastAsia="zh-CN" w:bidi="ar-SA"/>
        </w:rPr>
      </w:pPr>
      <w:bookmarkStart w:id="25" w:name="_Toc2102"/>
      <w:r>
        <w:rPr>
          <w:rFonts w:hint="eastAsia" w:ascii="方正楷体_GB2312" w:hAnsi="方正楷体_GB2312" w:eastAsia="方正楷体_GB2312" w:cs="方正楷体_GB2312"/>
          <w:lang w:val="en-US" w:eastAsia="zh-CN"/>
        </w:rPr>
        <w:t>（五）加大监督与执法力度</w:t>
      </w:r>
      <w:bookmarkEnd w:id="25"/>
    </w:p>
    <w:p>
      <w:pPr>
        <w:pageBreakBefore w:val="0"/>
        <w:widowControl w:val="0"/>
        <w:numPr>
          <w:ilvl w:val="0"/>
          <w:numId w:val="0"/>
        </w:numPr>
        <w:kinsoku/>
        <w:wordWrap/>
        <w:overflowPunct/>
        <w:topLinePunct w:val="0"/>
        <w:autoSpaceDE/>
        <w:autoSpaceDN/>
        <w:bidi w:val="0"/>
        <w:adjustRightInd/>
        <w:snapToGrid/>
        <w:spacing w:line="580" w:lineRule="exact"/>
        <w:ind w:firstLine="600" w:firstLineChars="200"/>
        <w:jc w:val="both"/>
        <w:textAlignment w:val="auto"/>
        <w:rPr>
          <w:rFonts w:hint="default"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在土地租赁使用过程中，应加大监督与执法力度，建立有效的监督机制，确保土地用途未被非法改变，严禁擅自建设非发电必要的配套设施。对于违法行为，应依法予以严厉打击，维护新能源项目用地土地市场的秩序和公平。</w:t>
      </w:r>
    </w:p>
    <w:p>
      <w:pPr>
        <w:pStyle w:val="4"/>
        <w:pageBreakBefore w:val="0"/>
        <w:widowControl w:val="0"/>
        <w:kinsoku/>
        <w:wordWrap/>
        <w:overflowPunct/>
        <w:topLinePunct w:val="0"/>
        <w:autoSpaceDE/>
        <w:autoSpaceDN/>
        <w:bidi w:val="0"/>
        <w:adjustRightInd/>
        <w:snapToGrid/>
        <w:spacing w:before="0" w:beforeLines="0" w:after="0" w:afterLines="0" w:line="580" w:lineRule="exact"/>
        <w:ind w:firstLine="600" w:firstLineChars="200"/>
        <w:textAlignment w:val="auto"/>
        <w:rPr>
          <w:rFonts w:hint="eastAsia" w:ascii="方正楷体_GB2312" w:hAnsi="方正楷体_GB2312" w:eastAsia="方正楷体_GB2312" w:cs="方正楷体_GB2312"/>
          <w:b/>
          <w:kern w:val="2"/>
          <w:sz w:val="32"/>
          <w:szCs w:val="24"/>
          <w:lang w:val="en-US" w:eastAsia="zh-CN" w:bidi="ar-SA"/>
        </w:rPr>
      </w:pPr>
      <w:r>
        <w:rPr>
          <w:rFonts w:hint="default" w:ascii="方正仿宋_GBK" w:hAnsi="方正仿宋_GBK" w:eastAsia="方正仿宋_GBK" w:cs="方正仿宋_GBK"/>
          <w:b w:val="0"/>
          <w:bCs w:val="0"/>
          <w:sz w:val="30"/>
          <w:szCs w:val="30"/>
          <w:lang w:val="en-US" w:eastAsia="zh-CN"/>
        </w:rPr>
        <w:tab/>
      </w:r>
      <w:bookmarkStart w:id="26" w:name="_Toc11386"/>
      <w:r>
        <w:rPr>
          <w:rFonts w:hint="eastAsia" w:ascii="方正楷体_GB2312" w:hAnsi="方正楷体_GB2312" w:eastAsia="方正楷体_GB2312" w:cs="方正楷体_GB2312"/>
          <w:lang w:val="en-US" w:eastAsia="zh-CN"/>
        </w:rPr>
        <w:t>（六）明确政策有效期</w:t>
      </w:r>
      <w:bookmarkEnd w:id="26"/>
    </w:p>
    <w:p>
      <w:pPr>
        <w:pageBreakBefore w:val="0"/>
        <w:widowControl w:val="0"/>
        <w:numPr>
          <w:ilvl w:val="0"/>
          <w:numId w:val="0"/>
        </w:numPr>
        <w:kinsoku/>
        <w:wordWrap/>
        <w:overflowPunct/>
        <w:topLinePunct w:val="0"/>
        <w:autoSpaceDE/>
        <w:autoSpaceDN/>
        <w:bidi w:val="0"/>
        <w:adjustRightInd/>
        <w:snapToGrid/>
        <w:spacing w:line="580" w:lineRule="exact"/>
        <w:ind w:firstLine="600" w:firstLineChars="200"/>
        <w:jc w:val="both"/>
        <w:textAlignment w:val="auto"/>
        <w:rPr>
          <w:rFonts w:hint="default"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在新能源项目用地租赁费标准发布时，应明确实施日期和有效期。</w:t>
      </w:r>
    </w:p>
    <w:sectPr>
      <w:headerReference r:id="rId4" w:type="default"/>
      <w:footerReference r:id="rId5"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2312">
    <w:altName w:val="楷体"/>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E4581"/>
    <w:rsid w:val="0015657D"/>
    <w:rsid w:val="00863B59"/>
    <w:rsid w:val="01EA393F"/>
    <w:rsid w:val="02714395"/>
    <w:rsid w:val="02750329"/>
    <w:rsid w:val="03865368"/>
    <w:rsid w:val="03AF6D32"/>
    <w:rsid w:val="04297C76"/>
    <w:rsid w:val="04BF2EAB"/>
    <w:rsid w:val="04F512AE"/>
    <w:rsid w:val="0567436E"/>
    <w:rsid w:val="057D78B3"/>
    <w:rsid w:val="05972365"/>
    <w:rsid w:val="05B922DB"/>
    <w:rsid w:val="064932EA"/>
    <w:rsid w:val="067D77AC"/>
    <w:rsid w:val="07723B60"/>
    <w:rsid w:val="07855684"/>
    <w:rsid w:val="07D653C6"/>
    <w:rsid w:val="08201AE5"/>
    <w:rsid w:val="0865499C"/>
    <w:rsid w:val="08B9622E"/>
    <w:rsid w:val="08DA608E"/>
    <w:rsid w:val="08DE6CA9"/>
    <w:rsid w:val="09093579"/>
    <w:rsid w:val="09193A75"/>
    <w:rsid w:val="09267C87"/>
    <w:rsid w:val="096C68AF"/>
    <w:rsid w:val="09840E52"/>
    <w:rsid w:val="098D7D07"/>
    <w:rsid w:val="0A294F9A"/>
    <w:rsid w:val="0BD25EA5"/>
    <w:rsid w:val="0BEE087A"/>
    <w:rsid w:val="0C2F32F7"/>
    <w:rsid w:val="0DFA5B87"/>
    <w:rsid w:val="0E0B7D94"/>
    <w:rsid w:val="0E8916C5"/>
    <w:rsid w:val="0EFA0DF9"/>
    <w:rsid w:val="10AB17F1"/>
    <w:rsid w:val="11B07A33"/>
    <w:rsid w:val="11E76422"/>
    <w:rsid w:val="124C72AF"/>
    <w:rsid w:val="12550951"/>
    <w:rsid w:val="129C0FBA"/>
    <w:rsid w:val="12BE0DA2"/>
    <w:rsid w:val="12C329EB"/>
    <w:rsid w:val="12C56763"/>
    <w:rsid w:val="13134D9A"/>
    <w:rsid w:val="132E0A08"/>
    <w:rsid w:val="134C0C32"/>
    <w:rsid w:val="13F033D7"/>
    <w:rsid w:val="142B0B62"/>
    <w:rsid w:val="148F1D14"/>
    <w:rsid w:val="149208C7"/>
    <w:rsid w:val="14AF28F9"/>
    <w:rsid w:val="15582325"/>
    <w:rsid w:val="15CA538F"/>
    <w:rsid w:val="16041350"/>
    <w:rsid w:val="16353C00"/>
    <w:rsid w:val="170763DC"/>
    <w:rsid w:val="17EA27C8"/>
    <w:rsid w:val="18001FEB"/>
    <w:rsid w:val="184844CE"/>
    <w:rsid w:val="18512847"/>
    <w:rsid w:val="18842C1C"/>
    <w:rsid w:val="190D2C12"/>
    <w:rsid w:val="19CC7E00"/>
    <w:rsid w:val="19EE4581"/>
    <w:rsid w:val="1A562397"/>
    <w:rsid w:val="1A590936"/>
    <w:rsid w:val="1A5F749D"/>
    <w:rsid w:val="1A7D4307"/>
    <w:rsid w:val="1AA61123"/>
    <w:rsid w:val="1AE93EB4"/>
    <w:rsid w:val="1B832D96"/>
    <w:rsid w:val="1C097FEA"/>
    <w:rsid w:val="1C34253D"/>
    <w:rsid w:val="1C8E7BC6"/>
    <w:rsid w:val="1CB369A2"/>
    <w:rsid w:val="1CD56466"/>
    <w:rsid w:val="1D3E3ECD"/>
    <w:rsid w:val="1D60198D"/>
    <w:rsid w:val="1DB92EF6"/>
    <w:rsid w:val="1E3712CD"/>
    <w:rsid w:val="1E5769A7"/>
    <w:rsid w:val="1E6E5F01"/>
    <w:rsid w:val="1E9D2342"/>
    <w:rsid w:val="1EF751EF"/>
    <w:rsid w:val="1F2D1671"/>
    <w:rsid w:val="1F6B68E4"/>
    <w:rsid w:val="1FC115D8"/>
    <w:rsid w:val="20876AC7"/>
    <w:rsid w:val="210D7225"/>
    <w:rsid w:val="219C2C31"/>
    <w:rsid w:val="22160D89"/>
    <w:rsid w:val="221E7EAD"/>
    <w:rsid w:val="2227414B"/>
    <w:rsid w:val="22482B7D"/>
    <w:rsid w:val="22553561"/>
    <w:rsid w:val="225C7DDE"/>
    <w:rsid w:val="22F55C75"/>
    <w:rsid w:val="232325E0"/>
    <w:rsid w:val="23E9602A"/>
    <w:rsid w:val="2417578B"/>
    <w:rsid w:val="24DE36B4"/>
    <w:rsid w:val="24F86524"/>
    <w:rsid w:val="250C2C1E"/>
    <w:rsid w:val="277769C5"/>
    <w:rsid w:val="27A955A1"/>
    <w:rsid w:val="27FC27CF"/>
    <w:rsid w:val="283F446A"/>
    <w:rsid w:val="285443B9"/>
    <w:rsid w:val="287F1C69"/>
    <w:rsid w:val="28C37A40"/>
    <w:rsid w:val="29471828"/>
    <w:rsid w:val="299B4196"/>
    <w:rsid w:val="29BD502C"/>
    <w:rsid w:val="2A294260"/>
    <w:rsid w:val="2A570191"/>
    <w:rsid w:val="2A664D9A"/>
    <w:rsid w:val="2A9E602D"/>
    <w:rsid w:val="2AE8211A"/>
    <w:rsid w:val="2B345547"/>
    <w:rsid w:val="2C127E6D"/>
    <w:rsid w:val="2C923702"/>
    <w:rsid w:val="2DB15E0A"/>
    <w:rsid w:val="2E3F7B32"/>
    <w:rsid w:val="2EA119DB"/>
    <w:rsid w:val="2EFA733D"/>
    <w:rsid w:val="2F097580"/>
    <w:rsid w:val="30754D1C"/>
    <w:rsid w:val="307F5D4C"/>
    <w:rsid w:val="3093620B"/>
    <w:rsid w:val="30B33C47"/>
    <w:rsid w:val="310444A3"/>
    <w:rsid w:val="3128145A"/>
    <w:rsid w:val="321F294E"/>
    <w:rsid w:val="32414601"/>
    <w:rsid w:val="324E4D0D"/>
    <w:rsid w:val="32EB591A"/>
    <w:rsid w:val="33541711"/>
    <w:rsid w:val="338D0BFB"/>
    <w:rsid w:val="33ED7470"/>
    <w:rsid w:val="341B3FDD"/>
    <w:rsid w:val="347E456C"/>
    <w:rsid w:val="348908AA"/>
    <w:rsid w:val="350B5675"/>
    <w:rsid w:val="352349B4"/>
    <w:rsid w:val="35574F00"/>
    <w:rsid w:val="359F0C3E"/>
    <w:rsid w:val="35B66A08"/>
    <w:rsid w:val="35CC1AA3"/>
    <w:rsid w:val="36874161"/>
    <w:rsid w:val="372F7D4B"/>
    <w:rsid w:val="3774501F"/>
    <w:rsid w:val="38EA6674"/>
    <w:rsid w:val="39002A92"/>
    <w:rsid w:val="396054F7"/>
    <w:rsid w:val="39E9619A"/>
    <w:rsid w:val="3A006F26"/>
    <w:rsid w:val="3A0C4BEA"/>
    <w:rsid w:val="3B534B95"/>
    <w:rsid w:val="3B585B17"/>
    <w:rsid w:val="3B6E70E8"/>
    <w:rsid w:val="3B8E4F23"/>
    <w:rsid w:val="3B906646"/>
    <w:rsid w:val="3C1B76D7"/>
    <w:rsid w:val="3C4F6F1A"/>
    <w:rsid w:val="3C722C08"/>
    <w:rsid w:val="3C7D7443"/>
    <w:rsid w:val="3CD2134A"/>
    <w:rsid w:val="3CEA6E66"/>
    <w:rsid w:val="3D347EBE"/>
    <w:rsid w:val="3E432A99"/>
    <w:rsid w:val="3F3846E7"/>
    <w:rsid w:val="3FBD6685"/>
    <w:rsid w:val="40520D87"/>
    <w:rsid w:val="411D514C"/>
    <w:rsid w:val="4134048C"/>
    <w:rsid w:val="415B1EBD"/>
    <w:rsid w:val="420D7D55"/>
    <w:rsid w:val="43CE0EDD"/>
    <w:rsid w:val="44136A7F"/>
    <w:rsid w:val="45E561F9"/>
    <w:rsid w:val="467F21AA"/>
    <w:rsid w:val="4800731A"/>
    <w:rsid w:val="484B3D54"/>
    <w:rsid w:val="48546727"/>
    <w:rsid w:val="486F624E"/>
    <w:rsid w:val="487358E0"/>
    <w:rsid w:val="49B66A74"/>
    <w:rsid w:val="49F01243"/>
    <w:rsid w:val="49F34297"/>
    <w:rsid w:val="4A0829DD"/>
    <w:rsid w:val="4A52727A"/>
    <w:rsid w:val="4B6D2F19"/>
    <w:rsid w:val="4CC66AB6"/>
    <w:rsid w:val="4CD26925"/>
    <w:rsid w:val="4CFF79A7"/>
    <w:rsid w:val="4D626381"/>
    <w:rsid w:val="4DB10213"/>
    <w:rsid w:val="4DCB3F26"/>
    <w:rsid w:val="4E90430D"/>
    <w:rsid w:val="4ED878A0"/>
    <w:rsid w:val="4F7D1204"/>
    <w:rsid w:val="51A2659D"/>
    <w:rsid w:val="51E370FA"/>
    <w:rsid w:val="52100317"/>
    <w:rsid w:val="52B15DE1"/>
    <w:rsid w:val="53DF24DA"/>
    <w:rsid w:val="54532EC8"/>
    <w:rsid w:val="547C31A7"/>
    <w:rsid w:val="55167213"/>
    <w:rsid w:val="556422EE"/>
    <w:rsid w:val="5595230F"/>
    <w:rsid w:val="55970038"/>
    <w:rsid w:val="55C4407D"/>
    <w:rsid w:val="56F049FE"/>
    <w:rsid w:val="57925115"/>
    <w:rsid w:val="58831FCD"/>
    <w:rsid w:val="58B32187"/>
    <w:rsid w:val="59540987"/>
    <w:rsid w:val="59B96295"/>
    <w:rsid w:val="59D40607"/>
    <w:rsid w:val="59F42A57"/>
    <w:rsid w:val="5A846212"/>
    <w:rsid w:val="5A991E79"/>
    <w:rsid w:val="5BC37F6D"/>
    <w:rsid w:val="5BD82630"/>
    <w:rsid w:val="5BD96737"/>
    <w:rsid w:val="5C69536C"/>
    <w:rsid w:val="5C8D7465"/>
    <w:rsid w:val="5C9E1A87"/>
    <w:rsid w:val="5CBF3CB8"/>
    <w:rsid w:val="5CC20199"/>
    <w:rsid w:val="5CDF6941"/>
    <w:rsid w:val="5D7970D9"/>
    <w:rsid w:val="5DB30B68"/>
    <w:rsid w:val="5E6A6206"/>
    <w:rsid w:val="5E8425FB"/>
    <w:rsid w:val="5EA65200"/>
    <w:rsid w:val="5EDD6435"/>
    <w:rsid w:val="5EF71BAD"/>
    <w:rsid w:val="5F282663"/>
    <w:rsid w:val="5FA07832"/>
    <w:rsid w:val="5FA34174"/>
    <w:rsid w:val="601A0A51"/>
    <w:rsid w:val="602D2A6F"/>
    <w:rsid w:val="607B17DC"/>
    <w:rsid w:val="61001CE1"/>
    <w:rsid w:val="61023CAB"/>
    <w:rsid w:val="613E013B"/>
    <w:rsid w:val="61461DBD"/>
    <w:rsid w:val="6168331C"/>
    <w:rsid w:val="63F7386F"/>
    <w:rsid w:val="65A17F37"/>
    <w:rsid w:val="65E1235D"/>
    <w:rsid w:val="65F3442F"/>
    <w:rsid w:val="65F56FAE"/>
    <w:rsid w:val="66342FEC"/>
    <w:rsid w:val="663C37BC"/>
    <w:rsid w:val="66A32905"/>
    <w:rsid w:val="66CC74E1"/>
    <w:rsid w:val="67305EDA"/>
    <w:rsid w:val="67504AC5"/>
    <w:rsid w:val="679C7E61"/>
    <w:rsid w:val="67CB0F83"/>
    <w:rsid w:val="680B796D"/>
    <w:rsid w:val="687D0361"/>
    <w:rsid w:val="688154A3"/>
    <w:rsid w:val="689618A9"/>
    <w:rsid w:val="69146C72"/>
    <w:rsid w:val="6961787F"/>
    <w:rsid w:val="69D849F5"/>
    <w:rsid w:val="69FE3DC0"/>
    <w:rsid w:val="6A586707"/>
    <w:rsid w:val="6AC25E12"/>
    <w:rsid w:val="6ADF3078"/>
    <w:rsid w:val="6AF916B0"/>
    <w:rsid w:val="6B455979"/>
    <w:rsid w:val="6B7476C3"/>
    <w:rsid w:val="6B7C465A"/>
    <w:rsid w:val="6B8F9539"/>
    <w:rsid w:val="6BE77AA7"/>
    <w:rsid w:val="6BEE7306"/>
    <w:rsid w:val="6C130AAF"/>
    <w:rsid w:val="6C1F7066"/>
    <w:rsid w:val="6C8C2E23"/>
    <w:rsid w:val="6CB56076"/>
    <w:rsid w:val="6D4573FA"/>
    <w:rsid w:val="6E0A23F1"/>
    <w:rsid w:val="6E8B1784"/>
    <w:rsid w:val="6EE74E56"/>
    <w:rsid w:val="6F1C4226"/>
    <w:rsid w:val="6F2B0278"/>
    <w:rsid w:val="6F31174C"/>
    <w:rsid w:val="6FC52A74"/>
    <w:rsid w:val="6FE10CAA"/>
    <w:rsid w:val="704F703B"/>
    <w:rsid w:val="70ED56B8"/>
    <w:rsid w:val="7105270F"/>
    <w:rsid w:val="714C64D8"/>
    <w:rsid w:val="714E0847"/>
    <w:rsid w:val="716F6B95"/>
    <w:rsid w:val="71D2534C"/>
    <w:rsid w:val="71E749AE"/>
    <w:rsid w:val="72710D43"/>
    <w:rsid w:val="73544EBA"/>
    <w:rsid w:val="73695274"/>
    <w:rsid w:val="737012F3"/>
    <w:rsid w:val="73DA0C47"/>
    <w:rsid w:val="74542AFD"/>
    <w:rsid w:val="74C36527"/>
    <w:rsid w:val="757C0194"/>
    <w:rsid w:val="75F55735"/>
    <w:rsid w:val="76832D41"/>
    <w:rsid w:val="76A06645"/>
    <w:rsid w:val="76DD68F5"/>
    <w:rsid w:val="772039A7"/>
    <w:rsid w:val="7755292F"/>
    <w:rsid w:val="776F2D04"/>
    <w:rsid w:val="77722E08"/>
    <w:rsid w:val="789912DA"/>
    <w:rsid w:val="78D73141"/>
    <w:rsid w:val="78EF46BD"/>
    <w:rsid w:val="794407B3"/>
    <w:rsid w:val="7A810468"/>
    <w:rsid w:val="7A923E9A"/>
    <w:rsid w:val="7B14665D"/>
    <w:rsid w:val="7B946037"/>
    <w:rsid w:val="7BFF0B9D"/>
    <w:rsid w:val="7D1E1A15"/>
    <w:rsid w:val="7D6E64F9"/>
    <w:rsid w:val="7DCA7456"/>
    <w:rsid w:val="7E861746"/>
    <w:rsid w:val="7ED405DD"/>
    <w:rsid w:val="7F307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80" w:lineRule="exact"/>
      <w:ind w:firstLine="640" w:firstLineChars="200"/>
      <w:outlineLvl w:val="0"/>
    </w:pPr>
    <w:rPr>
      <w:rFonts w:eastAsia="黑体" w:asciiTheme="minorAscii" w:hAnsiTheme="minorAscii"/>
      <w:b/>
      <w:kern w:val="44"/>
      <w:sz w:val="32"/>
    </w:rPr>
  </w:style>
  <w:style w:type="paragraph" w:styleId="4">
    <w:name w:val="heading 2"/>
    <w:basedOn w:val="1"/>
    <w:next w:val="1"/>
    <w:unhideWhenUsed/>
    <w:qFormat/>
    <w:uiPriority w:val="0"/>
    <w:pPr>
      <w:keepNext/>
      <w:keepLines/>
      <w:spacing w:beforeLines="0" w:beforeAutospacing="0" w:afterLines="0" w:afterAutospacing="0" w:line="560" w:lineRule="exact"/>
      <w:ind w:firstLine="640" w:firstLineChars="200"/>
      <w:outlineLvl w:val="1"/>
    </w:pPr>
    <w:rPr>
      <w:rFonts w:ascii="Arial" w:hAnsi="Arial" w:eastAsia="楷体_GB2312"/>
      <w:b/>
      <w:sz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正文-啊"/>
    <w:basedOn w:val="1"/>
    <w:qFormat/>
    <w:uiPriority w:val="0"/>
    <w:pPr>
      <w:spacing w:before="312" w:beforeLines="100" w:line="276" w:lineRule="auto"/>
      <w:ind w:left="210" w:right="210" w:firstLine="600"/>
      <w:contextualSpacing/>
    </w:pPr>
    <w:rPr>
      <w:rFonts w:ascii="微软雅黑" w:hAnsi="微软雅黑" w:eastAsia="微软雅黑"/>
      <w:color w:val="000000"/>
      <w:sz w:val="24"/>
      <w:szCs w:val="21"/>
    </w:rPr>
  </w:style>
  <w:style w:type="paragraph" w:styleId="6">
    <w:name w:val="Body Text"/>
    <w:basedOn w:val="1"/>
    <w:qFormat/>
    <w:uiPriority w:val="0"/>
    <w:pPr>
      <w:spacing w:line="560" w:lineRule="exact"/>
      <w:ind w:firstLine="630" w:firstLineChars="200"/>
      <w:jc w:val="both"/>
    </w:pPr>
    <w:rPr>
      <w:rFonts w:ascii="仿宋_GB2312" w:hAnsi="仿宋_GB2312" w:eastAsia="仿宋_GB2312" w:cs="Times New Roman"/>
      <w:spacing w:val="-6"/>
      <w:sz w:val="32"/>
    </w:rPr>
  </w:style>
  <w:style w:type="paragraph" w:styleId="7">
    <w:name w:val="Body Text Indent"/>
    <w:basedOn w:val="1"/>
    <w:qFormat/>
    <w:uiPriority w:val="0"/>
    <w:pPr>
      <w:ind w:firstLine="425"/>
    </w:pPr>
  </w:style>
  <w:style w:type="paragraph" w:styleId="8">
    <w:name w:val="Date"/>
    <w:basedOn w:val="1"/>
    <w:next w:val="1"/>
    <w:qFormat/>
    <w:uiPriority w:val="0"/>
    <w:pPr>
      <w:widowControl/>
      <w:autoSpaceDE w:val="0"/>
      <w:autoSpaceDN w:val="0"/>
      <w:adjustRightInd w:val="0"/>
      <w:spacing w:line="480" w:lineRule="atLeast"/>
      <w:jc w:val="right"/>
      <w:textAlignment w:val="bottom"/>
    </w:pPr>
    <w:rPr>
      <w:rFonts w:ascii="仿宋_GB2312" w:eastAsia="仿宋_GB2312"/>
      <w:snapToGrid/>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pPr>
      <w:adjustRightInd w:val="0"/>
      <w:snapToGrid w:val="0"/>
      <w:spacing w:line="540" w:lineRule="exact"/>
    </w:pPr>
    <w:rPr>
      <w:rFonts w:ascii="Times New Roman" w:hAnsi="Times New Roman" w:eastAsia="黑体"/>
      <w:sz w:val="28"/>
    </w:rPr>
  </w:style>
  <w:style w:type="paragraph" w:styleId="12">
    <w:name w:val="footnote text"/>
    <w:basedOn w:val="1"/>
    <w:unhideWhenUsed/>
    <w:qFormat/>
    <w:uiPriority w:val="99"/>
    <w:pPr>
      <w:snapToGrid w:val="0"/>
      <w:jc w:val="left"/>
    </w:pPr>
    <w:rPr>
      <w:rFonts w:ascii="Calibri" w:hAnsi="Calibri"/>
      <w:sz w:val="18"/>
      <w:szCs w:val="18"/>
    </w:rPr>
  </w:style>
  <w:style w:type="paragraph" w:styleId="13">
    <w:name w:val="toc 2"/>
    <w:basedOn w:val="1"/>
    <w:next w:val="1"/>
    <w:qFormat/>
    <w:uiPriority w:val="0"/>
    <w:pPr>
      <w:adjustRightInd w:val="0"/>
      <w:snapToGrid w:val="0"/>
      <w:spacing w:line="540" w:lineRule="exact"/>
      <w:ind w:left="420" w:leftChars="200"/>
    </w:pPr>
    <w:rPr>
      <w:rFonts w:ascii="Times New Roman" w:hAnsi="Times New Roman" w:eastAsia="楷体"/>
      <w:sz w:val="2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6"/>
    <w:next w:val="6"/>
    <w:unhideWhenUsed/>
    <w:qFormat/>
    <w:uiPriority w:val="0"/>
    <w:pPr>
      <w:ind w:firstLine="420" w:firstLineChars="100"/>
    </w:pPr>
  </w:style>
  <w:style w:type="paragraph" w:styleId="17">
    <w:name w:val="Body Text First Indent 2"/>
    <w:basedOn w:val="7"/>
    <w:qFormat/>
    <w:uiPriority w:val="0"/>
    <w:pPr>
      <w:spacing w:after="120"/>
      <w:ind w:leftChars="200" w:firstLine="420" w:firstLineChars="200"/>
    </w:pPr>
    <w:rPr>
      <w:rFonts w:ascii="Times New Roman"/>
    </w:rPr>
  </w:style>
  <w:style w:type="table" w:styleId="19">
    <w:name w:val="Table Grid"/>
    <w:basedOn w:val="1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character" w:styleId="23">
    <w:name w:val="HTML Code"/>
    <w:basedOn w:val="20"/>
    <w:qFormat/>
    <w:uiPriority w:val="0"/>
    <w:rPr>
      <w:rFonts w:ascii="Courier New" w:hAnsi="Courier New"/>
      <w:sz w:val="20"/>
    </w:rPr>
  </w:style>
  <w:style w:type="table" w:customStyle="1" w:styleId="24">
    <w:name w:val="Table Normal"/>
    <w:unhideWhenUsed/>
    <w:qFormat/>
    <w:uiPriority w:val="0"/>
    <w:tblPr>
      <w:tblCellMar>
        <w:top w:w="0" w:type="dxa"/>
        <w:left w:w="0" w:type="dxa"/>
        <w:bottom w:w="0" w:type="dxa"/>
        <w:right w:w="0" w:type="dxa"/>
      </w:tblCellMar>
    </w:tblPr>
  </w:style>
  <w:style w:type="character" w:customStyle="1" w:styleId="25">
    <w:name w:val="font21"/>
    <w:basedOn w:val="20"/>
    <w:qFormat/>
    <w:uiPriority w:val="0"/>
    <w:rPr>
      <w:rFonts w:hint="eastAsia" w:ascii="仿宋" w:hAnsi="仿宋" w:eastAsia="仿宋" w:cs="仿宋"/>
      <w:color w:val="000000"/>
      <w:sz w:val="22"/>
      <w:szCs w:val="22"/>
      <w:u w:val="none"/>
    </w:rPr>
  </w:style>
  <w:style w:type="paragraph" w:customStyle="1" w:styleId="26">
    <w:name w:val="Table Text"/>
    <w:basedOn w:val="1"/>
    <w:semiHidden/>
    <w:qFormat/>
    <w:uiPriority w:val="0"/>
    <w:rPr>
      <w:rFonts w:ascii="宋体" w:hAnsi="宋体" w:eastAsia="宋体" w:cs="宋体"/>
      <w:sz w:val="20"/>
      <w:szCs w:val="20"/>
      <w:lang w:val="en-US" w:eastAsia="en-US" w:bidi="ar-SA"/>
    </w:rPr>
  </w:style>
  <w:style w:type="character" w:customStyle="1" w:styleId="27">
    <w:name w:val="font31"/>
    <w:basedOn w:val="20"/>
    <w:qFormat/>
    <w:uiPriority w:val="0"/>
    <w:rPr>
      <w:rFonts w:ascii="宋体" w:hAnsi="宋体" w:eastAsia="宋体" w:cs="宋体"/>
      <w:b/>
      <w:bCs/>
      <w:color w:val="000000"/>
      <w:sz w:val="18"/>
      <w:szCs w:val="18"/>
      <w:u w:val="none"/>
    </w:rPr>
  </w:style>
  <w:style w:type="character" w:customStyle="1" w:styleId="28">
    <w:name w:val="font41"/>
    <w:basedOn w:val="20"/>
    <w:qFormat/>
    <w:uiPriority w:val="0"/>
    <w:rPr>
      <w:rFonts w:ascii="宋体" w:hAnsi="宋体" w:eastAsia="宋体" w:cs="宋体"/>
      <w:color w:val="000000"/>
      <w:sz w:val="18"/>
      <w:szCs w:val="18"/>
      <w:u w:val="none"/>
    </w:rPr>
  </w:style>
  <w:style w:type="character" w:customStyle="1" w:styleId="29">
    <w:name w:val="font71"/>
    <w:basedOn w:val="20"/>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chart" Target="charts/chart1.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5" Type="http://schemas.microsoft.com/office/2011/relationships/chartColorStyle" Target="colors1.xml"/><Relationship Id="rId4" Type="http://schemas.microsoft.com/office/2011/relationships/chartStyle" Target="style1.xml"/><Relationship Id="rId3" Type="http://schemas.openxmlformats.org/officeDocument/2006/relationships/image" Target="../media/image9.png"/><Relationship Id="rId2" Type="http://schemas.openxmlformats.org/officeDocument/2006/relationships/themeOverride" Target="../theme/themeOverride1.xml"/><Relationship Id="rId1" Type="http://schemas.openxmlformats.org/officeDocument/2006/relationships/oleObject" Target="file:///E:\&#22522;&#20934;&#22320;&#20215;\&#21556;&#24544;&#24066;&#20020;&#26102;&#29992;&#22320;\&#21033;&#36890;&#21306;&#26032;&#33021;&#28304;&#31199;&#36161;&#36153;&#35745;&#31639;&#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true"/>
    <c:plotArea>
      <c:layout>
        <c:manualLayout>
          <c:layoutTarget val="inner"/>
          <c:xMode val="edge"/>
          <c:yMode val="edge"/>
          <c:x val="0.0289626119010005"/>
          <c:y val="0.178935185185185"/>
          <c:w val="0.826224328593997"/>
          <c:h val="0.703333333333333"/>
        </c:manualLayout>
      </c:layout>
      <c:barChart>
        <c:barDir val="col"/>
        <c:grouping val="clustered"/>
        <c:varyColors val="false"/>
        <c:ser>
          <c:idx val="0"/>
          <c:order val="0"/>
          <c:tx>
            <c:strRef>
              <c:f>[利通区新能源租赁费计算表.xlsx]收益法租金!$B$25</c:f>
              <c:strCache>
                <c:ptCount val="1"/>
                <c:pt idx="0">
                  <c:v>租赁费</c:v>
                </c:pt>
              </c:strCache>
            </c:strRef>
          </c:tx>
          <c:spPr>
            <a:blipFill rotWithShape="true">
              <a:blip xmlns:r="http://schemas.openxmlformats.org/officeDocument/2006/relationships" r:embed="rId3">
                <a:duotone>
                  <a:schemeClr val="accent1"/>
                  <a:prstClr val="white"/>
                </a:duotone>
              </a:blip>
              <a:stretch>
                <a:fillRect/>
              </a:stretch>
            </a:blipFill>
            <a:ln>
              <a:noFill/>
            </a:ln>
            <a:effectLst>
              <a:outerShdw blurRad="76200" dir="18900000" sy="23000" kx="-1200000" algn="bl" rotWithShape="0">
                <a:prstClr val="black">
                  <a:alpha val="20000"/>
                </a:prstClr>
              </a:outerShdw>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[利通区新能源租赁费计算表.xlsx]收益法租金!$A$26:$A$29</c:f>
              <c:strCache>
                <c:ptCount val="4"/>
                <c:pt idx="0">
                  <c:v>利通区</c:v>
                </c:pt>
                <c:pt idx="1">
                  <c:v>青铜峡市</c:v>
                </c:pt>
                <c:pt idx="2">
                  <c:v>红寺堡区</c:v>
                </c:pt>
                <c:pt idx="3">
                  <c:v>沙坡头区</c:v>
                </c:pt>
              </c:strCache>
            </c:strRef>
          </c:cat>
          <c:val>
            <c:numRef>
              <c:f>[利通区新能源租赁费计算表.xlsx]收益法租金!$B$26:$B$29</c:f>
              <c:numCache>
                <c:formatCode>General</c:formatCode>
                <c:ptCount val="4"/>
                <c:pt idx="0">
                  <c:v>650</c:v>
                </c:pt>
                <c:pt idx="1">
                  <c:v>667</c:v>
                </c:pt>
                <c:pt idx="2">
                  <c:v>640</c:v>
                </c:pt>
                <c:pt idx="3">
                  <c:v>648</c:v>
                </c:pt>
              </c:numCache>
            </c:numRef>
          </c:val>
        </c:ser>
        <c:dLbls>
          <c:showLegendKey val="false"/>
          <c:showVal val="true"/>
          <c:showCatName val="false"/>
          <c:showSerName val="false"/>
          <c:showPercent val="false"/>
          <c:showBubbleSize val="false"/>
        </c:dLbls>
        <c:gapWidth val="100"/>
        <c:overlap val="-10"/>
        <c:axId val="721132926"/>
        <c:axId val="426269746"/>
      </c:barChart>
      <c:catAx>
        <c:axId val="721132926"/>
        <c:scaling>
          <c:orientation val="minMax"/>
        </c:scaling>
        <c:delete val="false"/>
        <c:axPos val="b"/>
        <c:majorGridlines>
          <c:spPr>
            <a:ln w="9525" cap="flat" cmpd="sng" algn="ctr">
              <a:solidFill>
                <a:schemeClr val="tx1">
                  <a:lumMod val="50000"/>
                  <a:lumOff val="50000"/>
                  <a:alpha val="20000"/>
                </a:schemeClr>
              </a:solidFill>
              <a:round/>
            </a:ln>
            <a:effectLst/>
          </c:spPr>
        </c:majorGridlines>
        <c:numFmt formatCode="General" sourceLinked="true"/>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true" forceAA="false"/>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26269746"/>
        <c:crosses val="autoZero"/>
        <c:auto val="true"/>
        <c:lblAlgn val="ctr"/>
        <c:lblOffset val="100"/>
        <c:noMultiLvlLbl val="false"/>
      </c:catAx>
      <c:valAx>
        <c:axId val="426269746"/>
        <c:scaling>
          <c:orientation val="minMax"/>
        </c:scaling>
        <c:delete val="true"/>
        <c:axPos val="l"/>
        <c:majorGridlines>
          <c:spPr>
            <a:ln w="6350" cap="flat" cmpd="sng" algn="ctr">
              <a:solidFill>
                <a:schemeClr val="tx1">
                  <a:lumMod val="50000"/>
                  <a:lumOff val="50000"/>
                  <a:alpha val="20000"/>
                </a:schemeClr>
              </a:solidFill>
              <a:round/>
            </a:ln>
            <a:effectLst/>
          </c:spPr>
        </c:majorGridlines>
        <c:numFmt formatCode="General" sourceLinked="true"/>
        <c:majorTickMark val="none"/>
        <c:minorTickMark val="none"/>
        <c:tickLblPos val="nextTo"/>
        <c:txPr>
          <a:bodyPr rot="-60000000" spcFirstLastPara="0" vertOverflow="ellipsis" vert="horz" wrap="square" anchor="ctr" anchorCtr="true" forceAA="false"/>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21132926"/>
        <c:crosses val="autoZero"/>
        <c:crossBetween val="between"/>
      </c:valAx>
      <c:spPr>
        <a:noFill/>
        <a:ln>
          <a:noFill/>
        </a:ln>
        <a:effectLst/>
      </c:spPr>
    </c:plotArea>
    <c:legend>
      <c:legendPos val="r"/>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6350" cap="flat" cmpd="sng" algn="ctr">
      <a:solidFill>
        <a:schemeClr val="tx1">
          <a:lumMod val="50000"/>
          <a:lumOff val="50000"/>
          <a:alpha val="1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word/theme/themeOverride1.xml><?xml version="1.0" encoding="utf-8"?>
<a:themeOverride xmlns:a="http://schemas.openxmlformats.org/drawingml/2006/main">
  <a:clrScheme name="自定义 58">
    <a:dk1>
      <a:srgbClr val="000000"/>
    </a:dk1>
    <a:lt1>
      <a:srgbClr val="FFFFFF"/>
    </a:lt1>
    <a:dk2>
      <a:srgbClr val="44546A"/>
    </a:dk2>
    <a:lt2>
      <a:srgbClr val="E7E6E6"/>
    </a:lt2>
    <a:accent1>
      <a:srgbClr val="FF9205"/>
    </a:accent1>
    <a:accent2>
      <a:srgbClr val="EF534C"/>
    </a:accent2>
    <a:accent3>
      <a:srgbClr val="5DB020"/>
    </a:accent3>
    <a:accent4>
      <a:srgbClr val="468ED8"/>
    </a:accent4>
    <a:accent5>
      <a:srgbClr val="7058CA"/>
    </a:accent5>
    <a:accent6>
      <a:srgbClr val="C358CA"/>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16451</Words>
  <Characters>19069</Characters>
  <Lines>0</Lines>
  <Paragraphs>0</Paragraphs>
  <TotalTime>10</TotalTime>
  <ScaleCrop>false</ScaleCrop>
  <LinksUpToDate>false</LinksUpToDate>
  <CharactersWithSpaces>19259</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2025-05-10T09:32:00Z</dcterms:created>
  <dc:creator>Paladinjoey</dc:creator>
  <cp:lastModifiedBy>ltq</cp:lastModifiedBy>
  <cp:lastPrinted>2025-10-28T06:52:00Z</cp:lastPrinted>
  <dcterms:modified xsi:type="dcterms:W3CDTF">2026-03-09T17:20:36Z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E93E9438022345C893C21E23C42D433F_13</vt:lpwstr>
  </property>
  <property fmtid="{D5CDD505-2E9C-101B-9397-08002B2CF9AE}" pid="4" name="KSOTemplateDocerSaveRecord">
    <vt:lpwstr>eyJoZGlkIjoiODJkMTExMzhiODEzMzU1Mjk0YWU4NDA4NDQ1MDljNGYiLCJ1c2VySWQiOiI1MDgyODA4OTcifQ==</vt:lpwstr>
  </property>
</Properties>
</file>